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86D67" w14:textId="41F1DFFC" w:rsidR="0033498F" w:rsidRDefault="00470940" w:rsidP="0033498F">
      <w:pPr>
        <w:spacing w:after="360"/>
        <w:jc w:val="right"/>
        <w:rPr>
          <w:rStyle w:val="Heading1Char"/>
        </w:rPr>
      </w:pPr>
      <w:r w:rsidRPr="00400B4B">
        <w:rPr>
          <w:noProof/>
        </w:rPr>
        <w:drawing>
          <wp:inline distT="0" distB="0" distL="0" distR="0" wp14:anchorId="60FA35CB" wp14:editId="3FC01D02">
            <wp:extent cx="3524885" cy="1186815"/>
            <wp:effectExtent l="0" t="0" r="0" b="0"/>
            <wp:docPr id="3" name="Picture 3" descr="National Library of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Library of Scotland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2EB9225D" w14:textId="7D459F42" w:rsidR="00BA3F89" w:rsidRDefault="003A1D5A" w:rsidP="004F10A7">
      <w:pPr>
        <w:spacing w:after="360"/>
        <w:jc w:val="center"/>
        <w:rPr>
          <w:rStyle w:val="Heading1Char"/>
        </w:rPr>
      </w:pPr>
      <w:r>
        <w:rPr>
          <w:rStyle w:val="Heading1Char"/>
        </w:rPr>
        <w:t>P</w:t>
      </w:r>
      <w:r w:rsidR="00BA3F89">
        <w:rPr>
          <w:rStyle w:val="Heading1Char"/>
        </w:rPr>
        <w:t xml:space="preserve">rocurement Plan </w:t>
      </w:r>
      <w:r w:rsidR="00B11B29">
        <w:rPr>
          <w:rStyle w:val="Heading1Char"/>
        </w:rPr>
        <w:t>(Strategy)</w:t>
      </w:r>
      <w:r w:rsidR="00D04464">
        <w:rPr>
          <w:rStyle w:val="Heading1Char"/>
        </w:rPr>
        <w:t xml:space="preserve"> 2024</w:t>
      </w:r>
      <w:r w:rsidR="009C1B37">
        <w:rPr>
          <w:rStyle w:val="Heading1Char"/>
        </w:rPr>
        <w:t xml:space="preserve"> </w:t>
      </w:r>
      <w:r w:rsidR="00440AE4">
        <w:rPr>
          <w:rStyle w:val="Heading1Char"/>
        </w:rPr>
        <w:t>- 2026</w:t>
      </w:r>
    </w:p>
    <w:p w14:paraId="061A5092" w14:textId="77777777" w:rsidR="00815C62" w:rsidRDefault="00815C62" w:rsidP="00815C62">
      <w:pPr>
        <w:pStyle w:val="Heading1"/>
        <w:spacing w:after="360"/>
        <w:jc w:val="right"/>
      </w:pPr>
    </w:p>
    <w:p w14:paraId="024F9763" w14:textId="77777777" w:rsidR="00815C62" w:rsidRDefault="00815C62" w:rsidP="00815C62">
      <w:pPr>
        <w:pStyle w:val="Heading1"/>
        <w:spacing w:after="360"/>
        <w:jc w:val="right"/>
      </w:pPr>
    </w:p>
    <w:p w14:paraId="439E750E" w14:textId="77777777" w:rsidR="00815C62" w:rsidRDefault="00815C62" w:rsidP="00815C62">
      <w:pPr>
        <w:pStyle w:val="Heading1"/>
        <w:spacing w:after="360"/>
        <w:jc w:val="right"/>
      </w:pPr>
    </w:p>
    <w:p w14:paraId="08E19F6B" w14:textId="77777777" w:rsidR="00815C62" w:rsidRDefault="00815C62" w:rsidP="00815C62">
      <w:pPr>
        <w:pStyle w:val="Heading1"/>
        <w:spacing w:after="360"/>
        <w:jc w:val="right"/>
      </w:pPr>
    </w:p>
    <w:p w14:paraId="62B3C541" w14:textId="77777777" w:rsidR="00815C62" w:rsidRDefault="00815C62" w:rsidP="00815C62">
      <w:pPr>
        <w:pStyle w:val="Heading1"/>
        <w:spacing w:after="360"/>
        <w:jc w:val="right"/>
      </w:pPr>
    </w:p>
    <w:p w14:paraId="19B18D25" w14:textId="77777777" w:rsidR="00815C62" w:rsidRDefault="00815C62" w:rsidP="00815C62">
      <w:pPr>
        <w:pStyle w:val="Heading1"/>
        <w:spacing w:after="360"/>
        <w:jc w:val="right"/>
      </w:pPr>
    </w:p>
    <w:p w14:paraId="19FBE742" w14:textId="77777777" w:rsidR="00815C62" w:rsidRDefault="00815C62" w:rsidP="002C7765">
      <w:pPr>
        <w:pStyle w:val="Heading1"/>
        <w:numPr>
          <w:ilvl w:val="0"/>
          <w:numId w:val="0"/>
        </w:numPr>
        <w:spacing w:after="360"/>
        <w:ind w:left="432"/>
      </w:pPr>
    </w:p>
    <w:p w14:paraId="08CA89E1" w14:textId="73963EAB" w:rsidR="00995125" w:rsidRPr="006A354E" w:rsidRDefault="00815C62" w:rsidP="00815C62">
      <w:pPr>
        <w:spacing w:after="360"/>
        <w:jc w:val="right"/>
      </w:pPr>
      <w:r>
        <w:t xml:space="preserve">Last revised: </w:t>
      </w:r>
      <w:r w:rsidR="00BA3F89">
        <w:t>June 2024</w:t>
      </w:r>
      <w:r w:rsidR="00995125" w:rsidRPr="006A354E">
        <w:br w:type="page"/>
      </w:r>
      <w:bookmarkEnd w:id="0"/>
      <w:bookmarkEnd w:id="1"/>
    </w:p>
    <w:bookmarkStart w:id="2" w:name="_Toc110486754" w:displacedByCustomXml="next"/>
    <w:bookmarkStart w:id="3" w:name="_Toc1611036248" w:displacedByCustomXml="next"/>
    <w:bookmarkStart w:id="4" w:name="_Toc1936490033" w:displacedByCustomXml="next"/>
    <w:sdt>
      <w:sdtPr>
        <w:rPr>
          <w:b/>
        </w:rPr>
        <w:id w:val="1813396560"/>
        <w:docPartObj>
          <w:docPartGallery w:val="Table of Contents"/>
          <w:docPartUnique/>
        </w:docPartObj>
      </w:sdtPr>
      <w:sdtEndPr>
        <w:rPr>
          <w:b w:val="0"/>
        </w:rPr>
      </w:sdtEndPr>
      <w:sdtContent>
        <w:p w14:paraId="58A006E4" w14:textId="499B2ADE" w:rsidR="00F228FE" w:rsidRPr="00EE04A9" w:rsidRDefault="00F228FE" w:rsidP="00902973">
          <w:pPr>
            <w:spacing w:after="360"/>
            <w:rPr>
              <w:rStyle w:val="Heading2Char"/>
            </w:rPr>
          </w:pPr>
          <w:r w:rsidRPr="63024FE5">
            <w:rPr>
              <w:rStyle w:val="Heading2Char"/>
            </w:rPr>
            <w:t>Contents</w:t>
          </w:r>
          <w:bookmarkEnd w:id="4"/>
          <w:bookmarkEnd w:id="3"/>
          <w:bookmarkEnd w:id="2"/>
        </w:p>
        <w:p w14:paraId="223B788F" w14:textId="1943CDC5" w:rsidR="00586B8A" w:rsidRDefault="002B6E11">
          <w:pPr>
            <w:pStyle w:val="TOC1"/>
            <w:spacing w:after="360"/>
            <w:rPr>
              <w:rFonts w:asciiTheme="minorHAnsi" w:eastAsiaTheme="minorEastAsia" w:hAnsiTheme="minorHAnsi"/>
              <w:noProof/>
              <w:kern w:val="2"/>
              <w:szCs w:val="24"/>
              <w:lang w:eastAsia="en-GB"/>
              <w14:ligatures w14:val="standardContextual"/>
            </w:rPr>
          </w:pPr>
          <w:r>
            <w:fldChar w:fldCharType="begin"/>
          </w:r>
          <w:r>
            <w:instrText xml:space="preserve"> TOC \h \z \t "Heading 2,1,Heading 3,2,Heading 4,3,Heading 5,4,Heading 2 (No Numbers),1,Heading 3 (No Numbers),2" </w:instrText>
          </w:r>
          <w:r>
            <w:fldChar w:fldCharType="separate"/>
          </w:r>
          <w:hyperlink w:anchor="_Toc170116837" w:history="1">
            <w:r w:rsidR="00586B8A" w:rsidRPr="00453256">
              <w:rPr>
                <w:rStyle w:val="Hyperlink"/>
                <w:noProof/>
              </w:rPr>
              <w:t>1.</w:t>
            </w:r>
            <w:r w:rsidR="00586B8A">
              <w:rPr>
                <w:rFonts w:asciiTheme="minorHAnsi" w:eastAsiaTheme="minorEastAsia" w:hAnsiTheme="minorHAnsi"/>
                <w:noProof/>
                <w:kern w:val="2"/>
                <w:szCs w:val="24"/>
                <w:lang w:eastAsia="en-GB"/>
                <w14:ligatures w14:val="standardContextual"/>
              </w:rPr>
              <w:tab/>
            </w:r>
            <w:r w:rsidR="00586B8A" w:rsidRPr="00453256">
              <w:rPr>
                <w:rStyle w:val="Hyperlink"/>
                <w:noProof/>
              </w:rPr>
              <w:t>Introduction and Executive summary</w:t>
            </w:r>
            <w:r w:rsidR="00586B8A">
              <w:rPr>
                <w:noProof/>
                <w:webHidden/>
              </w:rPr>
              <w:tab/>
            </w:r>
            <w:r w:rsidR="00586B8A">
              <w:rPr>
                <w:noProof/>
                <w:webHidden/>
              </w:rPr>
              <w:fldChar w:fldCharType="begin"/>
            </w:r>
            <w:r w:rsidR="00586B8A">
              <w:rPr>
                <w:noProof/>
                <w:webHidden/>
              </w:rPr>
              <w:instrText xml:space="preserve"> PAGEREF _Toc170116837 \h </w:instrText>
            </w:r>
            <w:r w:rsidR="00586B8A">
              <w:rPr>
                <w:noProof/>
                <w:webHidden/>
              </w:rPr>
            </w:r>
            <w:r w:rsidR="00586B8A">
              <w:rPr>
                <w:noProof/>
                <w:webHidden/>
              </w:rPr>
              <w:fldChar w:fldCharType="separate"/>
            </w:r>
            <w:r w:rsidR="00586B8A">
              <w:rPr>
                <w:noProof/>
                <w:webHidden/>
              </w:rPr>
              <w:t>4</w:t>
            </w:r>
            <w:r w:rsidR="00586B8A">
              <w:rPr>
                <w:noProof/>
                <w:webHidden/>
              </w:rPr>
              <w:fldChar w:fldCharType="end"/>
            </w:r>
          </w:hyperlink>
        </w:p>
        <w:p w14:paraId="5E8CCD34" w14:textId="6A03F54F" w:rsidR="00586B8A" w:rsidRDefault="00586B8A">
          <w:pPr>
            <w:pStyle w:val="TOC1"/>
            <w:spacing w:after="360"/>
            <w:rPr>
              <w:rFonts w:asciiTheme="minorHAnsi" w:eastAsiaTheme="minorEastAsia" w:hAnsiTheme="minorHAnsi"/>
              <w:noProof/>
              <w:kern w:val="2"/>
              <w:szCs w:val="24"/>
              <w:lang w:eastAsia="en-GB"/>
              <w14:ligatures w14:val="standardContextual"/>
            </w:rPr>
          </w:pPr>
          <w:hyperlink w:anchor="_Toc170116838" w:history="1">
            <w:r w:rsidRPr="00453256">
              <w:rPr>
                <w:rStyle w:val="Hyperlink"/>
                <w:noProof/>
              </w:rPr>
              <w:t>2.</w:t>
            </w:r>
            <w:r>
              <w:rPr>
                <w:rFonts w:asciiTheme="minorHAnsi" w:eastAsiaTheme="minorEastAsia" w:hAnsiTheme="minorHAnsi"/>
                <w:noProof/>
                <w:kern w:val="2"/>
                <w:szCs w:val="24"/>
                <w:lang w:eastAsia="en-GB"/>
                <w14:ligatures w14:val="standardContextual"/>
              </w:rPr>
              <w:tab/>
            </w:r>
            <w:r w:rsidRPr="00453256">
              <w:rPr>
                <w:rStyle w:val="Hyperlink"/>
                <w:noProof/>
              </w:rPr>
              <w:t>Procurement vision and mission statement</w:t>
            </w:r>
            <w:r>
              <w:rPr>
                <w:noProof/>
                <w:webHidden/>
              </w:rPr>
              <w:tab/>
            </w:r>
            <w:r>
              <w:rPr>
                <w:noProof/>
                <w:webHidden/>
              </w:rPr>
              <w:fldChar w:fldCharType="begin"/>
            </w:r>
            <w:r>
              <w:rPr>
                <w:noProof/>
                <w:webHidden/>
              </w:rPr>
              <w:instrText xml:space="preserve"> PAGEREF _Toc170116838 \h </w:instrText>
            </w:r>
            <w:r>
              <w:rPr>
                <w:noProof/>
                <w:webHidden/>
              </w:rPr>
            </w:r>
            <w:r>
              <w:rPr>
                <w:noProof/>
                <w:webHidden/>
              </w:rPr>
              <w:fldChar w:fldCharType="separate"/>
            </w:r>
            <w:r>
              <w:rPr>
                <w:noProof/>
                <w:webHidden/>
              </w:rPr>
              <w:t>4</w:t>
            </w:r>
            <w:r>
              <w:rPr>
                <w:noProof/>
                <w:webHidden/>
              </w:rPr>
              <w:fldChar w:fldCharType="end"/>
            </w:r>
          </w:hyperlink>
        </w:p>
        <w:p w14:paraId="5AA93A20" w14:textId="7486312E" w:rsidR="00586B8A" w:rsidRDefault="00586B8A">
          <w:pPr>
            <w:pStyle w:val="TOC1"/>
            <w:spacing w:after="360"/>
            <w:rPr>
              <w:rFonts w:asciiTheme="minorHAnsi" w:eastAsiaTheme="minorEastAsia" w:hAnsiTheme="minorHAnsi"/>
              <w:noProof/>
              <w:kern w:val="2"/>
              <w:szCs w:val="24"/>
              <w:lang w:eastAsia="en-GB"/>
              <w14:ligatures w14:val="standardContextual"/>
            </w:rPr>
          </w:pPr>
          <w:hyperlink w:anchor="_Toc170116839" w:history="1">
            <w:r w:rsidRPr="00453256">
              <w:rPr>
                <w:rStyle w:val="Hyperlink"/>
                <w:noProof/>
              </w:rPr>
              <w:t>3.</w:t>
            </w:r>
            <w:r>
              <w:rPr>
                <w:rFonts w:asciiTheme="minorHAnsi" w:eastAsiaTheme="minorEastAsia" w:hAnsiTheme="minorHAnsi"/>
                <w:noProof/>
                <w:kern w:val="2"/>
                <w:szCs w:val="24"/>
                <w:lang w:eastAsia="en-GB"/>
                <w14:ligatures w14:val="standardContextual"/>
              </w:rPr>
              <w:tab/>
            </w:r>
            <w:r w:rsidRPr="00453256">
              <w:rPr>
                <w:rStyle w:val="Hyperlink"/>
                <w:noProof/>
              </w:rPr>
              <w:t>Strategic rationale and context</w:t>
            </w:r>
            <w:r>
              <w:rPr>
                <w:noProof/>
                <w:webHidden/>
              </w:rPr>
              <w:tab/>
            </w:r>
            <w:r>
              <w:rPr>
                <w:noProof/>
                <w:webHidden/>
              </w:rPr>
              <w:fldChar w:fldCharType="begin"/>
            </w:r>
            <w:r>
              <w:rPr>
                <w:noProof/>
                <w:webHidden/>
              </w:rPr>
              <w:instrText xml:space="preserve"> PAGEREF _Toc170116839 \h </w:instrText>
            </w:r>
            <w:r>
              <w:rPr>
                <w:noProof/>
                <w:webHidden/>
              </w:rPr>
            </w:r>
            <w:r>
              <w:rPr>
                <w:noProof/>
                <w:webHidden/>
              </w:rPr>
              <w:fldChar w:fldCharType="separate"/>
            </w:r>
            <w:r>
              <w:rPr>
                <w:noProof/>
                <w:webHidden/>
              </w:rPr>
              <w:t>4</w:t>
            </w:r>
            <w:r>
              <w:rPr>
                <w:noProof/>
                <w:webHidden/>
              </w:rPr>
              <w:fldChar w:fldCharType="end"/>
            </w:r>
          </w:hyperlink>
        </w:p>
        <w:p w14:paraId="2927CF98" w14:textId="2ED0CB3E" w:rsidR="00586B8A" w:rsidRDefault="00586B8A">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70116840" w:history="1">
            <w:r w:rsidRPr="00453256">
              <w:rPr>
                <w:rStyle w:val="Hyperlink"/>
                <w:noProof/>
              </w:rPr>
              <w:t>3.1</w:t>
            </w:r>
            <w:r>
              <w:rPr>
                <w:rFonts w:asciiTheme="minorHAnsi" w:eastAsiaTheme="minorEastAsia" w:hAnsiTheme="minorHAnsi"/>
                <w:noProof/>
                <w:kern w:val="2"/>
                <w:szCs w:val="24"/>
                <w:lang w:eastAsia="en-GB"/>
                <w14:ligatures w14:val="standardContextual"/>
              </w:rPr>
              <w:tab/>
            </w:r>
            <w:r w:rsidRPr="00453256">
              <w:rPr>
                <w:rStyle w:val="Hyperlink"/>
                <w:noProof/>
              </w:rPr>
              <w:t>Procurement principles</w:t>
            </w:r>
            <w:r>
              <w:rPr>
                <w:noProof/>
                <w:webHidden/>
              </w:rPr>
              <w:tab/>
            </w:r>
            <w:r>
              <w:rPr>
                <w:noProof/>
                <w:webHidden/>
              </w:rPr>
              <w:fldChar w:fldCharType="begin"/>
            </w:r>
            <w:r>
              <w:rPr>
                <w:noProof/>
                <w:webHidden/>
              </w:rPr>
              <w:instrText xml:space="preserve"> PAGEREF _Toc170116840 \h </w:instrText>
            </w:r>
            <w:r>
              <w:rPr>
                <w:noProof/>
                <w:webHidden/>
              </w:rPr>
            </w:r>
            <w:r>
              <w:rPr>
                <w:noProof/>
                <w:webHidden/>
              </w:rPr>
              <w:fldChar w:fldCharType="separate"/>
            </w:r>
            <w:r>
              <w:rPr>
                <w:noProof/>
                <w:webHidden/>
              </w:rPr>
              <w:t>5</w:t>
            </w:r>
            <w:r>
              <w:rPr>
                <w:noProof/>
                <w:webHidden/>
              </w:rPr>
              <w:fldChar w:fldCharType="end"/>
            </w:r>
          </w:hyperlink>
        </w:p>
        <w:p w14:paraId="7753B842" w14:textId="2BDB970B" w:rsidR="00586B8A" w:rsidRDefault="00586B8A">
          <w:pPr>
            <w:pStyle w:val="TOC1"/>
            <w:spacing w:after="360"/>
            <w:rPr>
              <w:rFonts w:asciiTheme="minorHAnsi" w:eastAsiaTheme="minorEastAsia" w:hAnsiTheme="minorHAnsi"/>
              <w:noProof/>
              <w:kern w:val="2"/>
              <w:szCs w:val="24"/>
              <w:lang w:eastAsia="en-GB"/>
              <w14:ligatures w14:val="standardContextual"/>
            </w:rPr>
          </w:pPr>
          <w:hyperlink w:anchor="_Toc170116841" w:history="1">
            <w:r w:rsidRPr="00453256">
              <w:rPr>
                <w:rStyle w:val="Hyperlink"/>
                <w:noProof/>
              </w:rPr>
              <w:t>4.</w:t>
            </w:r>
            <w:r>
              <w:rPr>
                <w:rFonts w:asciiTheme="minorHAnsi" w:eastAsiaTheme="minorEastAsia" w:hAnsiTheme="minorHAnsi"/>
                <w:noProof/>
                <w:kern w:val="2"/>
                <w:szCs w:val="24"/>
                <w:lang w:eastAsia="en-GB"/>
                <w14:ligatures w14:val="standardContextual"/>
              </w:rPr>
              <w:tab/>
            </w:r>
            <w:r w:rsidRPr="00453256">
              <w:rPr>
                <w:rStyle w:val="Hyperlink"/>
                <w:noProof/>
              </w:rPr>
              <w:t>Strategic aims, objectives and key priorities</w:t>
            </w:r>
            <w:r>
              <w:rPr>
                <w:noProof/>
                <w:webHidden/>
              </w:rPr>
              <w:tab/>
            </w:r>
            <w:r>
              <w:rPr>
                <w:noProof/>
                <w:webHidden/>
              </w:rPr>
              <w:fldChar w:fldCharType="begin"/>
            </w:r>
            <w:r>
              <w:rPr>
                <w:noProof/>
                <w:webHidden/>
              </w:rPr>
              <w:instrText xml:space="preserve"> PAGEREF _Toc170116841 \h </w:instrText>
            </w:r>
            <w:r>
              <w:rPr>
                <w:noProof/>
                <w:webHidden/>
              </w:rPr>
            </w:r>
            <w:r>
              <w:rPr>
                <w:noProof/>
                <w:webHidden/>
              </w:rPr>
              <w:fldChar w:fldCharType="separate"/>
            </w:r>
            <w:r>
              <w:rPr>
                <w:noProof/>
                <w:webHidden/>
              </w:rPr>
              <w:t>5</w:t>
            </w:r>
            <w:r>
              <w:rPr>
                <w:noProof/>
                <w:webHidden/>
              </w:rPr>
              <w:fldChar w:fldCharType="end"/>
            </w:r>
          </w:hyperlink>
        </w:p>
        <w:p w14:paraId="61D0A519" w14:textId="2A39A19F" w:rsidR="00586B8A" w:rsidRDefault="00586B8A">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70116842" w:history="1">
            <w:r w:rsidRPr="00453256">
              <w:rPr>
                <w:rStyle w:val="Hyperlink"/>
                <w:noProof/>
              </w:rPr>
              <w:t>4.1</w:t>
            </w:r>
            <w:r>
              <w:rPr>
                <w:rFonts w:asciiTheme="minorHAnsi" w:eastAsiaTheme="minorEastAsia" w:hAnsiTheme="minorHAnsi"/>
                <w:noProof/>
                <w:kern w:val="2"/>
                <w:szCs w:val="24"/>
                <w:lang w:eastAsia="en-GB"/>
                <w14:ligatures w14:val="standardContextual"/>
              </w:rPr>
              <w:tab/>
            </w:r>
            <w:r w:rsidRPr="00453256">
              <w:rPr>
                <w:rStyle w:val="Hyperlink"/>
                <w:noProof/>
              </w:rPr>
              <w:t>Efficiency and collaboration</w:t>
            </w:r>
            <w:r>
              <w:rPr>
                <w:noProof/>
                <w:webHidden/>
              </w:rPr>
              <w:tab/>
            </w:r>
            <w:r>
              <w:rPr>
                <w:noProof/>
                <w:webHidden/>
              </w:rPr>
              <w:fldChar w:fldCharType="begin"/>
            </w:r>
            <w:r>
              <w:rPr>
                <w:noProof/>
                <w:webHidden/>
              </w:rPr>
              <w:instrText xml:space="preserve"> PAGEREF _Toc170116842 \h </w:instrText>
            </w:r>
            <w:r>
              <w:rPr>
                <w:noProof/>
                <w:webHidden/>
              </w:rPr>
            </w:r>
            <w:r>
              <w:rPr>
                <w:noProof/>
                <w:webHidden/>
              </w:rPr>
              <w:fldChar w:fldCharType="separate"/>
            </w:r>
            <w:r>
              <w:rPr>
                <w:noProof/>
                <w:webHidden/>
              </w:rPr>
              <w:t>6</w:t>
            </w:r>
            <w:r>
              <w:rPr>
                <w:noProof/>
                <w:webHidden/>
              </w:rPr>
              <w:fldChar w:fldCharType="end"/>
            </w:r>
          </w:hyperlink>
        </w:p>
        <w:p w14:paraId="1C5AAA4B" w14:textId="76FFC48F" w:rsidR="00586B8A" w:rsidRDefault="00586B8A">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70116843" w:history="1">
            <w:r w:rsidRPr="00453256">
              <w:rPr>
                <w:rStyle w:val="Hyperlink"/>
                <w:noProof/>
              </w:rPr>
              <w:t>4.2</w:t>
            </w:r>
            <w:r>
              <w:rPr>
                <w:rFonts w:asciiTheme="minorHAnsi" w:eastAsiaTheme="minorEastAsia" w:hAnsiTheme="minorHAnsi"/>
                <w:noProof/>
                <w:kern w:val="2"/>
                <w:szCs w:val="24"/>
                <w:lang w:eastAsia="en-GB"/>
                <w14:ligatures w14:val="standardContextual"/>
              </w:rPr>
              <w:tab/>
            </w:r>
            <w:r w:rsidRPr="00453256">
              <w:rPr>
                <w:rStyle w:val="Hyperlink"/>
                <w:noProof/>
              </w:rPr>
              <w:t>Savings and benefits</w:t>
            </w:r>
            <w:r>
              <w:rPr>
                <w:noProof/>
                <w:webHidden/>
              </w:rPr>
              <w:tab/>
            </w:r>
            <w:r>
              <w:rPr>
                <w:noProof/>
                <w:webHidden/>
              </w:rPr>
              <w:fldChar w:fldCharType="begin"/>
            </w:r>
            <w:r>
              <w:rPr>
                <w:noProof/>
                <w:webHidden/>
              </w:rPr>
              <w:instrText xml:space="preserve"> PAGEREF _Toc170116843 \h </w:instrText>
            </w:r>
            <w:r>
              <w:rPr>
                <w:noProof/>
                <w:webHidden/>
              </w:rPr>
            </w:r>
            <w:r>
              <w:rPr>
                <w:noProof/>
                <w:webHidden/>
              </w:rPr>
              <w:fldChar w:fldCharType="separate"/>
            </w:r>
            <w:r>
              <w:rPr>
                <w:noProof/>
                <w:webHidden/>
              </w:rPr>
              <w:t>7</w:t>
            </w:r>
            <w:r>
              <w:rPr>
                <w:noProof/>
                <w:webHidden/>
              </w:rPr>
              <w:fldChar w:fldCharType="end"/>
            </w:r>
          </w:hyperlink>
        </w:p>
        <w:p w14:paraId="5D43BC89" w14:textId="5AF297F7" w:rsidR="00586B8A" w:rsidRDefault="00586B8A">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70116844" w:history="1">
            <w:r w:rsidRPr="00453256">
              <w:rPr>
                <w:rStyle w:val="Hyperlink"/>
                <w:noProof/>
              </w:rPr>
              <w:t>4.3</w:t>
            </w:r>
            <w:r>
              <w:rPr>
                <w:rFonts w:asciiTheme="minorHAnsi" w:eastAsiaTheme="minorEastAsia" w:hAnsiTheme="minorHAnsi"/>
                <w:noProof/>
                <w:kern w:val="2"/>
                <w:szCs w:val="24"/>
                <w:lang w:eastAsia="en-GB"/>
                <w14:ligatures w14:val="standardContextual"/>
              </w:rPr>
              <w:tab/>
            </w:r>
            <w:r w:rsidRPr="00453256">
              <w:rPr>
                <w:rStyle w:val="Hyperlink"/>
                <w:noProof/>
              </w:rPr>
              <w:t>Access</w:t>
            </w:r>
            <w:r>
              <w:rPr>
                <w:noProof/>
                <w:webHidden/>
              </w:rPr>
              <w:tab/>
            </w:r>
            <w:r>
              <w:rPr>
                <w:noProof/>
                <w:webHidden/>
              </w:rPr>
              <w:fldChar w:fldCharType="begin"/>
            </w:r>
            <w:r>
              <w:rPr>
                <w:noProof/>
                <w:webHidden/>
              </w:rPr>
              <w:instrText xml:space="preserve"> PAGEREF _Toc170116844 \h </w:instrText>
            </w:r>
            <w:r>
              <w:rPr>
                <w:noProof/>
                <w:webHidden/>
              </w:rPr>
            </w:r>
            <w:r>
              <w:rPr>
                <w:noProof/>
                <w:webHidden/>
              </w:rPr>
              <w:fldChar w:fldCharType="separate"/>
            </w:r>
            <w:r>
              <w:rPr>
                <w:noProof/>
                <w:webHidden/>
              </w:rPr>
              <w:t>7</w:t>
            </w:r>
            <w:r>
              <w:rPr>
                <w:noProof/>
                <w:webHidden/>
              </w:rPr>
              <w:fldChar w:fldCharType="end"/>
            </w:r>
          </w:hyperlink>
        </w:p>
        <w:p w14:paraId="0AA4C3F1" w14:textId="2E91232D" w:rsidR="00586B8A" w:rsidRDefault="00586B8A">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70116845" w:history="1">
            <w:r w:rsidRPr="00453256">
              <w:rPr>
                <w:rStyle w:val="Hyperlink"/>
                <w:noProof/>
              </w:rPr>
              <w:t>4.4</w:t>
            </w:r>
            <w:r>
              <w:rPr>
                <w:rFonts w:asciiTheme="minorHAnsi" w:eastAsiaTheme="minorEastAsia" w:hAnsiTheme="minorHAnsi"/>
                <w:noProof/>
                <w:kern w:val="2"/>
                <w:szCs w:val="24"/>
                <w:lang w:eastAsia="en-GB"/>
                <w14:ligatures w14:val="standardContextual"/>
              </w:rPr>
              <w:tab/>
            </w:r>
            <w:r w:rsidRPr="00453256">
              <w:rPr>
                <w:rStyle w:val="Hyperlink"/>
                <w:noProof/>
              </w:rPr>
              <w:t>Sustainability</w:t>
            </w:r>
            <w:r>
              <w:rPr>
                <w:noProof/>
                <w:webHidden/>
              </w:rPr>
              <w:tab/>
            </w:r>
            <w:r>
              <w:rPr>
                <w:noProof/>
                <w:webHidden/>
              </w:rPr>
              <w:fldChar w:fldCharType="begin"/>
            </w:r>
            <w:r>
              <w:rPr>
                <w:noProof/>
                <w:webHidden/>
              </w:rPr>
              <w:instrText xml:space="preserve"> PAGEREF _Toc170116845 \h </w:instrText>
            </w:r>
            <w:r>
              <w:rPr>
                <w:noProof/>
                <w:webHidden/>
              </w:rPr>
            </w:r>
            <w:r>
              <w:rPr>
                <w:noProof/>
                <w:webHidden/>
              </w:rPr>
              <w:fldChar w:fldCharType="separate"/>
            </w:r>
            <w:r>
              <w:rPr>
                <w:noProof/>
                <w:webHidden/>
              </w:rPr>
              <w:t>8</w:t>
            </w:r>
            <w:r>
              <w:rPr>
                <w:noProof/>
                <w:webHidden/>
              </w:rPr>
              <w:fldChar w:fldCharType="end"/>
            </w:r>
          </w:hyperlink>
        </w:p>
        <w:p w14:paraId="6DFDA4CD" w14:textId="11481CCB" w:rsidR="00586B8A" w:rsidRDefault="00586B8A">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70116846" w:history="1">
            <w:r w:rsidRPr="00453256">
              <w:rPr>
                <w:rStyle w:val="Hyperlink"/>
                <w:noProof/>
              </w:rPr>
              <w:t>4.5</w:t>
            </w:r>
            <w:r>
              <w:rPr>
                <w:rFonts w:asciiTheme="minorHAnsi" w:eastAsiaTheme="minorEastAsia" w:hAnsiTheme="minorHAnsi"/>
                <w:noProof/>
                <w:kern w:val="2"/>
                <w:szCs w:val="24"/>
                <w:lang w:eastAsia="en-GB"/>
                <w14:ligatures w14:val="standardContextual"/>
              </w:rPr>
              <w:tab/>
            </w:r>
            <w:r w:rsidRPr="00453256">
              <w:rPr>
                <w:rStyle w:val="Hyperlink"/>
                <w:noProof/>
              </w:rPr>
              <w:t>Capability</w:t>
            </w:r>
            <w:r>
              <w:rPr>
                <w:noProof/>
                <w:webHidden/>
              </w:rPr>
              <w:tab/>
            </w:r>
            <w:r>
              <w:rPr>
                <w:noProof/>
                <w:webHidden/>
              </w:rPr>
              <w:fldChar w:fldCharType="begin"/>
            </w:r>
            <w:r>
              <w:rPr>
                <w:noProof/>
                <w:webHidden/>
              </w:rPr>
              <w:instrText xml:space="preserve"> PAGEREF _Toc170116846 \h </w:instrText>
            </w:r>
            <w:r>
              <w:rPr>
                <w:noProof/>
                <w:webHidden/>
              </w:rPr>
            </w:r>
            <w:r>
              <w:rPr>
                <w:noProof/>
                <w:webHidden/>
              </w:rPr>
              <w:fldChar w:fldCharType="separate"/>
            </w:r>
            <w:r>
              <w:rPr>
                <w:noProof/>
                <w:webHidden/>
              </w:rPr>
              <w:t>10</w:t>
            </w:r>
            <w:r>
              <w:rPr>
                <w:noProof/>
                <w:webHidden/>
              </w:rPr>
              <w:fldChar w:fldCharType="end"/>
            </w:r>
          </w:hyperlink>
        </w:p>
        <w:p w14:paraId="36A84BC7" w14:textId="6229E4C3" w:rsidR="00586B8A" w:rsidRDefault="00586B8A">
          <w:pPr>
            <w:pStyle w:val="TOC1"/>
            <w:spacing w:after="360"/>
            <w:rPr>
              <w:rFonts w:asciiTheme="minorHAnsi" w:eastAsiaTheme="minorEastAsia" w:hAnsiTheme="minorHAnsi"/>
              <w:noProof/>
              <w:kern w:val="2"/>
              <w:szCs w:val="24"/>
              <w:lang w:eastAsia="en-GB"/>
              <w14:ligatures w14:val="standardContextual"/>
            </w:rPr>
          </w:pPr>
          <w:hyperlink w:anchor="_Toc170116847" w:history="1">
            <w:r w:rsidRPr="00453256">
              <w:rPr>
                <w:rStyle w:val="Hyperlink"/>
                <w:noProof/>
              </w:rPr>
              <w:t>5.</w:t>
            </w:r>
            <w:r>
              <w:rPr>
                <w:rFonts w:asciiTheme="minorHAnsi" w:eastAsiaTheme="minorEastAsia" w:hAnsiTheme="minorHAnsi"/>
                <w:noProof/>
                <w:kern w:val="2"/>
                <w:szCs w:val="24"/>
                <w:lang w:eastAsia="en-GB"/>
                <w14:ligatures w14:val="standardContextual"/>
              </w:rPr>
              <w:tab/>
            </w:r>
            <w:r w:rsidRPr="00453256">
              <w:rPr>
                <w:rStyle w:val="Hyperlink"/>
                <w:noProof/>
              </w:rPr>
              <w:t>Spend and Finance</w:t>
            </w:r>
            <w:r>
              <w:rPr>
                <w:noProof/>
                <w:webHidden/>
              </w:rPr>
              <w:tab/>
            </w:r>
            <w:r>
              <w:rPr>
                <w:noProof/>
                <w:webHidden/>
              </w:rPr>
              <w:fldChar w:fldCharType="begin"/>
            </w:r>
            <w:r>
              <w:rPr>
                <w:noProof/>
                <w:webHidden/>
              </w:rPr>
              <w:instrText xml:space="preserve"> PAGEREF _Toc170116847 \h </w:instrText>
            </w:r>
            <w:r>
              <w:rPr>
                <w:noProof/>
                <w:webHidden/>
              </w:rPr>
            </w:r>
            <w:r>
              <w:rPr>
                <w:noProof/>
                <w:webHidden/>
              </w:rPr>
              <w:fldChar w:fldCharType="separate"/>
            </w:r>
            <w:r>
              <w:rPr>
                <w:noProof/>
                <w:webHidden/>
              </w:rPr>
              <w:t>11</w:t>
            </w:r>
            <w:r>
              <w:rPr>
                <w:noProof/>
                <w:webHidden/>
              </w:rPr>
              <w:fldChar w:fldCharType="end"/>
            </w:r>
          </w:hyperlink>
        </w:p>
        <w:p w14:paraId="716FDC25" w14:textId="5D337426" w:rsidR="00586B8A" w:rsidRDefault="00586B8A">
          <w:pPr>
            <w:pStyle w:val="TOC1"/>
            <w:spacing w:after="360"/>
            <w:rPr>
              <w:rFonts w:asciiTheme="minorHAnsi" w:eastAsiaTheme="minorEastAsia" w:hAnsiTheme="minorHAnsi"/>
              <w:noProof/>
              <w:kern w:val="2"/>
              <w:szCs w:val="24"/>
              <w:lang w:eastAsia="en-GB"/>
              <w14:ligatures w14:val="standardContextual"/>
            </w:rPr>
          </w:pPr>
          <w:hyperlink w:anchor="_Toc170116848" w:history="1">
            <w:r w:rsidRPr="00453256">
              <w:rPr>
                <w:rStyle w:val="Hyperlink"/>
                <w:noProof/>
              </w:rPr>
              <w:t>6.</w:t>
            </w:r>
            <w:r>
              <w:rPr>
                <w:rFonts w:asciiTheme="minorHAnsi" w:eastAsiaTheme="minorEastAsia" w:hAnsiTheme="minorHAnsi"/>
                <w:noProof/>
                <w:kern w:val="2"/>
                <w:szCs w:val="24"/>
                <w:lang w:eastAsia="en-GB"/>
                <w14:ligatures w14:val="standardContextual"/>
              </w:rPr>
              <w:tab/>
            </w:r>
            <w:r w:rsidRPr="00453256">
              <w:rPr>
                <w:rStyle w:val="Hyperlink"/>
                <w:noProof/>
              </w:rPr>
              <w:t>Exceptions</w:t>
            </w:r>
            <w:r>
              <w:rPr>
                <w:noProof/>
                <w:webHidden/>
              </w:rPr>
              <w:tab/>
            </w:r>
            <w:r>
              <w:rPr>
                <w:noProof/>
                <w:webHidden/>
              </w:rPr>
              <w:fldChar w:fldCharType="begin"/>
            </w:r>
            <w:r>
              <w:rPr>
                <w:noProof/>
                <w:webHidden/>
              </w:rPr>
              <w:instrText xml:space="preserve"> PAGEREF _Toc170116848 \h </w:instrText>
            </w:r>
            <w:r>
              <w:rPr>
                <w:noProof/>
                <w:webHidden/>
              </w:rPr>
            </w:r>
            <w:r>
              <w:rPr>
                <w:noProof/>
                <w:webHidden/>
              </w:rPr>
              <w:fldChar w:fldCharType="separate"/>
            </w:r>
            <w:r>
              <w:rPr>
                <w:noProof/>
                <w:webHidden/>
              </w:rPr>
              <w:t>12</w:t>
            </w:r>
            <w:r>
              <w:rPr>
                <w:noProof/>
                <w:webHidden/>
              </w:rPr>
              <w:fldChar w:fldCharType="end"/>
            </w:r>
          </w:hyperlink>
        </w:p>
        <w:p w14:paraId="6B5D62E3" w14:textId="4041761A" w:rsidR="00586B8A" w:rsidRDefault="00586B8A">
          <w:pPr>
            <w:pStyle w:val="TOC1"/>
            <w:spacing w:after="360"/>
            <w:rPr>
              <w:rFonts w:asciiTheme="minorHAnsi" w:eastAsiaTheme="minorEastAsia" w:hAnsiTheme="minorHAnsi"/>
              <w:noProof/>
              <w:kern w:val="2"/>
              <w:szCs w:val="24"/>
              <w:lang w:eastAsia="en-GB"/>
              <w14:ligatures w14:val="standardContextual"/>
            </w:rPr>
          </w:pPr>
          <w:hyperlink w:anchor="_Toc170116849" w:history="1">
            <w:r w:rsidRPr="00453256">
              <w:rPr>
                <w:rStyle w:val="Hyperlink"/>
                <w:noProof/>
              </w:rPr>
              <w:t>7.</w:t>
            </w:r>
            <w:r>
              <w:rPr>
                <w:rFonts w:asciiTheme="minorHAnsi" w:eastAsiaTheme="minorEastAsia" w:hAnsiTheme="minorHAnsi"/>
                <w:noProof/>
                <w:kern w:val="2"/>
                <w:szCs w:val="24"/>
                <w:lang w:eastAsia="en-GB"/>
                <w14:ligatures w14:val="standardContextual"/>
              </w:rPr>
              <w:tab/>
            </w:r>
            <w:r w:rsidRPr="00453256">
              <w:rPr>
                <w:rStyle w:val="Hyperlink"/>
                <w:noProof/>
              </w:rPr>
              <w:t>Implementation, monitoring, reviewing and reporting on strategies</w:t>
            </w:r>
            <w:r>
              <w:rPr>
                <w:noProof/>
                <w:webHidden/>
              </w:rPr>
              <w:tab/>
            </w:r>
            <w:r>
              <w:rPr>
                <w:noProof/>
                <w:webHidden/>
              </w:rPr>
              <w:fldChar w:fldCharType="begin"/>
            </w:r>
            <w:r>
              <w:rPr>
                <w:noProof/>
                <w:webHidden/>
              </w:rPr>
              <w:instrText xml:space="preserve"> PAGEREF _Toc170116849 \h </w:instrText>
            </w:r>
            <w:r>
              <w:rPr>
                <w:noProof/>
                <w:webHidden/>
              </w:rPr>
            </w:r>
            <w:r>
              <w:rPr>
                <w:noProof/>
                <w:webHidden/>
              </w:rPr>
              <w:fldChar w:fldCharType="separate"/>
            </w:r>
            <w:r>
              <w:rPr>
                <w:noProof/>
                <w:webHidden/>
              </w:rPr>
              <w:t>13</w:t>
            </w:r>
            <w:r>
              <w:rPr>
                <w:noProof/>
                <w:webHidden/>
              </w:rPr>
              <w:fldChar w:fldCharType="end"/>
            </w:r>
          </w:hyperlink>
        </w:p>
        <w:p w14:paraId="78A78A95" w14:textId="13D4F981" w:rsidR="00586B8A" w:rsidRDefault="00586B8A">
          <w:pPr>
            <w:pStyle w:val="TOC1"/>
            <w:spacing w:after="360"/>
            <w:rPr>
              <w:rFonts w:asciiTheme="minorHAnsi" w:eastAsiaTheme="minorEastAsia" w:hAnsiTheme="minorHAnsi"/>
              <w:noProof/>
              <w:kern w:val="2"/>
              <w:szCs w:val="24"/>
              <w:lang w:eastAsia="en-GB"/>
              <w14:ligatures w14:val="standardContextual"/>
            </w:rPr>
          </w:pPr>
          <w:hyperlink w:anchor="_Toc170116850" w:history="1">
            <w:r w:rsidRPr="00453256">
              <w:rPr>
                <w:rStyle w:val="Hyperlink"/>
                <w:noProof/>
              </w:rPr>
              <w:t>8.</w:t>
            </w:r>
            <w:r>
              <w:rPr>
                <w:rFonts w:asciiTheme="minorHAnsi" w:eastAsiaTheme="minorEastAsia" w:hAnsiTheme="minorHAnsi"/>
                <w:noProof/>
                <w:kern w:val="2"/>
                <w:szCs w:val="24"/>
                <w:lang w:eastAsia="en-GB"/>
                <w14:ligatures w14:val="standardContextual"/>
              </w:rPr>
              <w:tab/>
            </w:r>
            <w:r w:rsidRPr="00453256">
              <w:rPr>
                <w:rStyle w:val="Hyperlink"/>
                <w:noProof/>
              </w:rPr>
              <w:t>Contact details</w:t>
            </w:r>
            <w:r>
              <w:rPr>
                <w:noProof/>
                <w:webHidden/>
              </w:rPr>
              <w:tab/>
            </w:r>
            <w:r>
              <w:rPr>
                <w:noProof/>
                <w:webHidden/>
              </w:rPr>
              <w:fldChar w:fldCharType="begin"/>
            </w:r>
            <w:r>
              <w:rPr>
                <w:noProof/>
                <w:webHidden/>
              </w:rPr>
              <w:instrText xml:space="preserve"> PAGEREF _Toc170116850 \h </w:instrText>
            </w:r>
            <w:r>
              <w:rPr>
                <w:noProof/>
                <w:webHidden/>
              </w:rPr>
            </w:r>
            <w:r>
              <w:rPr>
                <w:noProof/>
                <w:webHidden/>
              </w:rPr>
              <w:fldChar w:fldCharType="separate"/>
            </w:r>
            <w:r>
              <w:rPr>
                <w:noProof/>
                <w:webHidden/>
              </w:rPr>
              <w:t>13</w:t>
            </w:r>
            <w:r>
              <w:rPr>
                <w:noProof/>
                <w:webHidden/>
              </w:rPr>
              <w:fldChar w:fldCharType="end"/>
            </w:r>
          </w:hyperlink>
        </w:p>
        <w:p w14:paraId="4E7C7A87" w14:textId="246E0AC9" w:rsidR="00586B8A" w:rsidRDefault="00586B8A">
          <w:pPr>
            <w:pStyle w:val="TOC1"/>
            <w:spacing w:after="360"/>
            <w:rPr>
              <w:rFonts w:asciiTheme="minorHAnsi" w:eastAsiaTheme="minorEastAsia" w:hAnsiTheme="minorHAnsi"/>
              <w:noProof/>
              <w:kern w:val="2"/>
              <w:szCs w:val="24"/>
              <w:lang w:eastAsia="en-GB"/>
              <w14:ligatures w14:val="standardContextual"/>
            </w:rPr>
          </w:pPr>
          <w:hyperlink w:anchor="_Toc170116851" w:history="1">
            <w:r w:rsidRPr="00453256">
              <w:rPr>
                <w:rStyle w:val="Hyperlink"/>
                <w:noProof/>
              </w:rPr>
              <w:t>9.</w:t>
            </w:r>
            <w:r>
              <w:rPr>
                <w:rFonts w:asciiTheme="minorHAnsi" w:eastAsiaTheme="minorEastAsia" w:hAnsiTheme="minorHAnsi"/>
                <w:noProof/>
                <w:kern w:val="2"/>
                <w:szCs w:val="24"/>
                <w:lang w:eastAsia="en-GB"/>
                <w14:ligatures w14:val="standardContextual"/>
              </w:rPr>
              <w:tab/>
            </w:r>
            <w:r w:rsidRPr="00453256">
              <w:rPr>
                <w:rStyle w:val="Hyperlink"/>
                <w:noProof/>
                <w:shd w:val="clear" w:color="auto" w:fill="FFFFFF"/>
              </w:rPr>
              <w:t xml:space="preserve">Related </w:t>
            </w:r>
            <w:r w:rsidRPr="00453256">
              <w:rPr>
                <w:rStyle w:val="Hyperlink"/>
                <w:noProof/>
              </w:rPr>
              <w:t>policies</w:t>
            </w:r>
            <w:r w:rsidRPr="00453256">
              <w:rPr>
                <w:rStyle w:val="Hyperlink"/>
                <w:noProof/>
                <w:shd w:val="clear" w:color="auto" w:fill="FFFFFF"/>
              </w:rPr>
              <w:t xml:space="preserve"> and procedures</w:t>
            </w:r>
            <w:r>
              <w:rPr>
                <w:noProof/>
                <w:webHidden/>
              </w:rPr>
              <w:tab/>
            </w:r>
            <w:r>
              <w:rPr>
                <w:noProof/>
                <w:webHidden/>
              </w:rPr>
              <w:fldChar w:fldCharType="begin"/>
            </w:r>
            <w:r>
              <w:rPr>
                <w:noProof/>
                <w:webHidden/>
              </w:rPr>
              <w:instrText xml:space="preserve"> PAGEREF _Toc170116851 \h </w:instrText>
            </w:r>
            <w:r>
              <w:rPr>
                <w:noProof/>
                <w:webHidden/>
              </w:rPr>
            </w:r>
            <w:r>
              <w:rPr>
                <w:noProof/>
                <w:webHidden/>
              </w:rPr>
              <w:fldChar w:fldCharType="separate"/>
            </w:r>
            <w:r>
              <w:rPr>
                <w:noProof/>
                <w:webHidden/>
              </w:rPr>
              <w:t>13</w:t>
            </w:r>
            <w:r>
              <w:rPr>
                <w:noProof/>
                <w:webHidden/>
              </w:rPr>
              <w:fldChar w:fldCharType="end"/>
            </w:r>
          </w:hyperlink>
        </w:p>
        <w:p w14:paraId="18756563" w14:textId="1B51D1F7" w:rsidR="00586B8A" w:rsidRDefault="00586B8A">
          <w:pPr>
            <w:pStyle w:val="TOC1"/>
            <w:spacing w:after="360"/>
            <w:rPr>
              <w:rFonts w:asciiTheme="minorHAnsi" w:eastAsiaTheme="minorEastAsia" w:hAnsiTheme="minorHAnsi"/>
              <w:noProof/>
              <w:kern w:val="2"/>
              <w:szCs w:val="24"/>
              <w:lang w:eastAsia="en-GB"/>
              <w14:ligatures w14:val="standardContextual"/>
            </w:rPr>
          </w:pPr>
          <w:hyperlink w:anchor="_Toc170116852" w:history="1">
            <w:r w:rsidRPr="00453256">
              <w:rPr>
                <w:rStyle w:val="Hyperlink"/>
                <w:noProof/>
              </w:rPr>
              <w:t>Appendix 1 – Glossary of terms</w:t>
            </w:r>
            <w:r>
              <w:rPr>
                <w:noProof/>
                <w:webHidden/>
              </w:rPr>
              <w:tab/>
            </w:r>
            <w:r>
              <w:rPr>
                <w:noProof/>
                <w:webHidden/>
              </w:rPr>
              <w:fldChar w:fldCharType="begin"/>
            </w:r>
            <w:r>
              <w:rPr>
                <w:noProof/>
                <w:webHidden/>
              </w:rPr>
              <w:instrText xml:space="preserve"> PAGEREF _Toc170116852 \h </w:instrText>
            </w:r>
            <w:r>
              <w:rPr>
                <w:noProof/>
                <w:webHidden/>
              </w:rPr>
            </w:r>
            <w:r>
              <w:rPr>
                <w:noProof/>
                <w:webHidden/>
              </w:rPr>
              <w:fldChar w:fldCharType="separate"/>
            </w:r>
            <w:r>
              <w:rPr>
                <w:noProof/>
                <w:webHidden/>
              </w:rPr>
              <w:t>14</w:t>
            </w:r>
            <w:r>
              <w:rPr>
                <w:noProof/>
                <w:webHidden/>
              </w:rPr>
              <w:fldChar w:fldCharType="end"/>
            </w:r>
          </w:hyperlink>
        </w:p>
        <w:p w14:paraId="6ABF405C" w14:textId="48295A40" w:rsidR="00586B8A" w:rsidRDefault="00586B8A">
          <w:pPr>
            <w:pStyle w:val="TOC1"/>
            <w:spacing w:after="360"/>
            <w:rPr>
              <w:rFonts w:asciiTheme="minorHAnsi" w:eastAsiaTheme="minorEastAsia" w:hAnsiTheme="minorHAnsi"/>
              <w:noProof/>
              <w:kern w:val="2"/>
              <w:szCs w:val="24"/>
              <w:lang w:eastAsia="en-GB"/>
              <w14:ligatures w14:val="standardContextual"/>
            </w:rPr>
          </w:pPr>
          <w:hyperlink w:anchor="_Toc170116853" w:history="1">
            <w:r w:rsidRPr="00453256">
              <w:rPr>
                <w:rStyle w:val="Hyperlink"/>
                <w:noProof/>
              </w:rPr>
              <w:t>Document information</w:t>
            </w:r>
            <w:r>
              <w:rPr>
                <w:noProof/>
                <w:webHidden/>
              </w:rPr>
              <w:tab/>
            </w:r>
            <w:r>
              <w:rPr>
                <w:noProof/>
                <w:webHidden/>
              </w:rPr>
              <w:fldChar w:fldCharType="begin"/>
            </w:r>
            <w:r>
              <w:rPr>
                <w:noProof/>
                <w:webHidden/>
              </w:rPr>
              <w:instrText xml:space="preserve"> PAGEREF _Toc170116853 \h </w:instrText>
            </w:r>
            <w:r>
              <w:rPr>
                <w:noProof/>
                <w:webHidden/>
              </w:rPr>
            </w:r>
            <w:r>
              <w:rPr>
                <w:noProof/>
                <w:webHidden/>
              </w:rPr>
              <w:fldChar w:fldCharType="separate"/>
            </w:r>
            <w:r>
              <w:rPr>
                <w:noProof/>
                <w:webHidden/>
              </w:rPr>
              <w:t>17</w:t>
            </w:r>
            <w:r>
              <w:rPr>
                <w:noProof/>
                <w:webHidden/>
              </w:rPr>
              <w:fldChar w:fldCharType="end"/>
            </w:r>
          </w:hyperlink>
        </w:p>
        <w:p w14:paraId="4614E881" w14:textId="3B3059B4" w:rsidR="00586B8A" w:rsidRDefault="00586B8A">
          <w:pPr>
            <w:pStyle w:val="TOC1"/>
            <w:spacing w:after="360"/>
            <w:rPr>
              <w:rFonts w:asciiTheme="minorHAnsi" w:eastAsiaTheme="minorEastAsia" w:hAnsiTheme="minorHAnsi"/>
              <w:noProof/>
              <w:kern w:val="2"/>
              <w:szCs w:val="24"/>
              <w:lang w:eastAsia="en-GB"/>
              <w14:ligatures w14:val="standardContextual"/>
            </w:rPr>
          </w:pPr>
          <w:hyperlink w:anchor="_Toc170116854" w:history="1">
            <w:r w:rsidRPr="00453256">
              <w:rPr>
                <w:rStyle w:val="Hyperlink"/>
                <w:noProof/>
              </w:rPr>
              <w:t>Document control</w:t>
            </w:r>
            <w:r>
              <w:rPr>
                <w:noProof/>
                <w:webHidden/>
              </w:rPr>
              <w:tab/>
            </w:r>
            <w:r>
              <w:rPr>
                <w:noProof/>
                <w:webHidden/>
              </w:rPr>
              <w:fldChar w:fldCharType="begin"/>
            </w:r>
            <w:r>
              <w:rPr>
                <w:noProof/>
                <w:webHidden/>
              </w:rPr>
              <w:instrText xml:space="preserve"> PAGEREF _Toc170116854 \h </w:instrText>
            </w:r>
            <w:r>
              <w:rPr>
                <w:noProof/>
                <w:webHidden/>
              </w:rPr>
            </w:r>
            <w:r>
              <w:rPr>
                <w:noProof/>
                <w:webHidden/>
              </w:rPr>
              <w:fldChar w:fldCharType="separate"/>
            </w:r>
            <w:r>
              <w:rPr>
                <w:noProof/>
                <w:webHidden/>
              </w:rPr>
              <w:t>17</w:t>
            </w:r>
            <w:r>
              <w:rPr>
                <w:noProof/>
                <w:webHidden/>
              </w:rPr>
              <w:fldChar w:fldCharType="end"/>
            </w:r>
          </w:hyperlink>
        </w:p>
        <w:p w14:paraId="7B791795" w14:textId="2B2889F6" w:rsidR="003F0008" w:rsidRDefault="002B6E11" w:rsidP="002B6E11">
          <w:pPr>
            <w:pStyle w:val="TOC2"/>
            <w:tabs>
              <w:tab w:val="right" w:leader="dot" w:pos="9015"/>
            </w:tabs>
            <w:spacing w:after="360"/>
            <w:ind w:left="0"/>
            <w:rPr>
              <w:rFonts w:eastAsia="Calibri" w:cs="Arial"/>
              <w:noProof/>
              <w:szCs w:val="24"/>
              <w:lang w:eastAsia="ja-JP"/>
            </w:rPr>
          </w:pPr>
          <w:r>
            <w:fldChar w:fldCharType="end"/>
          </w:r>
        </w:p>
      </w:sdtContent>
    </w:sdt>
    <w:p w14:paraId="0E354986" w14:textId="6F8AA7E9" w:rsidR="00F228FE" w:rsidRDefault="00F228FE" w:rsidP="00135E76">
      <w:pPr>
        <w:spacing w:after="360"/>
      </w:pPr>
    </w:p>
    <w:p w14:paraId="1668F9DE" w14:textId="063AED73" w:rsidR="00D57903" w:rsidRDefault="00995125" w:rsidP="36C7B31F">
      <w:pPr>
        <w:pStyle w:val="Heading2"/>
        <w:spacing w:before="0" w:after="360"/>
      </w:pPr>
      <w:bookmarkStart w:id="5" w:name="_Toc1922457677"/>
      <w:bookmarkStart w:id="6" w:name="_Toc1210974249"/>
      <w:r>
        <w:br w:type="page"/>
      </w:r>
      <w:bookmarkStart w:id="7" w:name="_Toc110486755"/>
      <w:bookmarkStart w:id="8" w:name="_Toc170116837"/>
      <w:r w:rsidR="00BA3F89">
        <w:lastRenderedPageBreak/>
        <w:t xml:space="preserve">Introduction </w:t>
      </w:r>
      <w:r w:rsidR="005D01DA">
        <w:t>and</w:t>
      </w:r>
      <w:r w:rsidR="00BA3F89">
        <w:t xml:space="preserve"> Executive summa</w:t>
      </w:r>
      <w:bookmarkEnd w:id="5"/>
      <w:bookmarkEnd w:id="6"/>
      <w:bookmarkEnd w:id="7"/>
      <w:r w:rsidR="00BA3F89">
        <w:t>ry</w:t>
      </w:r>
      <w:bookmarkEnd w:id="8"/>
    </w:p>
    <w:p w14:paraId="0D2E3281" w14:textId="3AD27C00" w:rsidR="00BA3F89" w:rsidRPr="00A038E1" w:rsidRDefault="00BA3F89" w:rsidP="00BA3F89">
      <w:pPr>
        <w:spacing w:after="360"/>
        <w:rPr>
          <w:rFonts w:cs="Arial"/>
        </w:rPr>
      </w:pPr>
      <w:r w:rsidRPr="00A038E1">
        <w:rPr>
          <w:rFonts w:cs="Arial"/>
        </w:rPr>
        <w:t>This procurement plan is aimed at promoting effective procurement across the Library.</w:t>
      </w:r>
      <w:r w:rsidR="009B0B69">
        <w:rPr>
          <w:rFonts w:cs="Arial"/>
        </w:rPr>
        <w:t xml:space="preserve"> </w:t>
      </w:r>
      <w:r w:rsidRPr="00A038E1">
        <w:rPr>
          <w:rFonts w:cs="Arial"/>
        </w:rPr>
        <w:t>As with all public sector organisations, the Library is facing significant financial pressures</w:t>
      </w:r>
      <w:r w:rsidR="005B3ED0">
        <w:rPr>
          <w:rFonts w:cs="Arial"/>
        </w:rPr>
        <w:t>,</w:t>
      </w:r>
      <w:r w:rsidRPr="00A038E1">
        <w:rPr>
          <w:rFonts w:cs="Arial"/>
        </w:rPr>
        <w:t xml:space="preserve"> and this plan aims to provide a clear and consistent framework to ensure procurement activity supports all services to meet the Library's priorities.</w:t>
      </w:r>
    </w:p>
    <w:p w14:paraId="7B18CE62" w14:textId="2A87DB38" w:rsidR="00BA3F89" w:rsidRPr="00A038E1" w:rsidRDefault="00BA3F89" w:rsidP="00BA3F89">
      <w:pPr>
        <w:spacing w:after="360"/>
        <w:rPr>
          <w:rFonts w:cs="Arial"/>
        </w:rPr>
      </w:pPr>
      <w:r w:rsidRPr="00A038E1">
        <w:rPr>
          <w:rFonts w:cs="Arial"/>
        </w:rPr>
        <w:t xml:space="preserve">It supports the Library's five-year Strategy </w:t>
      </w:r>
      <w:r w:rsidR="00A3139B">
        <w:rPr>
          <w:rFonts w:cs="Arial"/>
          <w:iCs/>
        </w:rPr>
        <w:t>'</w:t>
      </w:r>
      <w:r w:rsidRPr="00A038E1">
        <w:rPr>
          <w:rFonts w:cs="Arial"/>
          <w:iCs/>
        </w:rPr>
        <w:t>Reaching People</w:t>
      </w:r>
      <w:r w:rsidR="00851120">
        <w:rPr>
          <w:rFonts w:cs="Arial"/>
          <w:iCs/>
        </w:rPr>
        <w:t>'</w:t>
      </w:r>
      <w:r w:rsidRPr="00A038E1">
        <w:rPr>
          <w:rFonts w:cs="Arial"/>
          <w:i/>
        </w:rPr>
        <w:t xml:space="preserve"> </w:t>
      </w:r>
      <w:r w:rsidRPr="00A038E1">
        <w:rPr>
          <w:rFonts w:cs="Arial"/>
        </w:rPr>
        <w:t xml:space="preserve">published in 2020 and supports the National Performance Framework, by being inclusive, sustainable, tackling poverty by sharing opportunities more equally and value, enjoy, </w:t>
      </w:r>
      <w:proofErr w:type="gramStart"/>
      <w:r w:rsidRPr="00A038E1">
        <w:rPr>
          <w:rFonts w:cs="Arial"/>
        </w:rPr>
        <w:t>protect</w:t>
      </w:r>
      <w:proofErr w:type="gramEnd"/>
      <w:r w:rsidRPr="00A038E1">
        <w:rPr>
          <w:rFonts w:cs="Arial"/>
        </w:rPr>
        <w:t xml:space="preserve"> and enhance our environment, and measuring performance against an agreed scheme of metrics.</w:t>
      </w:r>
    </w:p>
    <w:p w14:paraId="389EA357" w14:textId="77777777" w:rsidR="00BA3F89" w:rsidRPr="00A038E1" w:rsidRDefault="00BA3F89" w:rsidP="00BA3F89">
      <w:pPr>
        <w:spacing w:after="360"/>
        <w:rPr>
          <w:rFonts w:cs="Arial"/>
        </w:rPr>
      </w:pPr>
      <w:r w:rsidRPr="00A038E1">
        <w:rPr>
          <w:rFonts w:cs="Arial"/>
        </w:rPr>
        <w:t>It sets the process the Library has adopted for regulated procurements; a statutory requirement under section 15 of the Procurement Reform (Scotland) Act 2014 and covers a two-year period with review annually or earlier if necessary.</w:t>
      </w:r>
    </w:p>
    <w:p w14:paraId="712EDE69" w14:textId="4BFFA550" w:rsidR="006A354E" w:rsidRDefault="00BA3F89" w:rsidP="36C7B31F">
      <w:pPr>
        <w:pStyle w:val="Heading2"/>
        <w:spacing w:before="0" w:after="360"/>
      </w:pPr>
      <w:bookmarkStart w:id="9" w:name="_Toc170116838"/>
      <w:r>
        <w:t>Procurement vision and mission statement</w:t>
      </w:r>
      <w:bookmarkEnd w:id="9"/>
      <w:r>
        <w:t xml:space="preserve"> </w:t>
      </w:r>
    </w:p>
    <w:p w14:paraId="6EDAAC28" w14:textId="77777777" w:rsidR="00BA3F89" w:rsidRPr="00A038E1" w:rsidRDefault="00BA3F89" w:rsidP="00BA3F89">
      <w:pPr>
        <w:spacing w:after="360"/>
        <w:rPr>
          <w:rFonts w:cs="Arial"/>
        </w:rPr>
      </w:pPr>
      <w:r w:rsidRPr="00A038E1">
        <w:rPr>
          <w:rFonts w:cs="Arial"/>
        </w:rPr>
        <w:t xml:space="preserve">To ensure clear, concise, commercially </w:t>
      </w:r>
      <w:proofErr w:type="gramStart"/>
      <w:r w:rsidRPr="00A038E1">
        <w:rPr>
          <w:rFonts w:cs="Arial"/>
        </w:rPr>
        <w:t>effective</w:t>
      </w:r>
      <w:proofErr w:type="gramEnd"/>
      <w:r w:rsidRPr="00A038E1">
        <w:rPr>
          <w:rFonts w:cs="Arial"/>
        </w:rPr>
        <w:t xml:space="preserve"> and compliant procurement processes and procedures, that are proportionate and relevant to the Library's requirement and support its business needs, are available across the organisation.</w:t>
      </w:r>
    </w:p>
    <w:p w14:paraId="0EE98D38" w14:textId="77777777" w:rsidR="00BA3F89" w:rsidRPr="00A038E1" w:rsidRDefault="00BA3F89" w:rsidP="00BA3F89">
      <w:pPr>
        <w:spacing w:after="360"/>
        <w:rPr>
          <w:rFonts w:cs="Arial"/>
        </w:rPr>
      </w:pPr>
      <w:r w:rsidRPr="00A038E1">
        <w:rPr>
          <w:rFonts w:cs="Arial"/>
        </w:rPr>
        <w:t xml:space="preserve">It aims to ensure value for money which encompasses cost, </w:t>
      </w:r>
      <w:proofErr w:type="gramStart"/>
      <w:r w:rsidRPr="00A038E1">
        <w:rPr>
          <w:rFonts w:cs="Arial"/>
        </w:rPr>
        <w:t>sustainability</w:t>
      </w:r>
      <w:proofErr w:type="gramEnd"/>
      <w:r w:rsidRPr="00A038E1">
        <w:rPr>
          <w:rFonts w:cs="Arial"/>
        </w:rPr>
        <w:t xml:space="preserve"> and quality. It will do this by improving supplier access to Library public contracts, delivering savings and benefits, maximising </w:t>
      </w:r>
      <w:proofErr w:type="gramStart"/>
      <w:r w:rsidRPr="00A038E1">
        <w:rPr>
          <w:rFonts w:cs="Arial"/>
        </w:rPr>
        <w:t>efficiency</w:t>
      </w:r>
      <w:proofErr w:type="gramEnd"/>
      <w:r w:rsidRPr="00A038E1">
        <w:rPr>
          <w:rFonts w:cs="Arial"/>
        </w:rPr>
        <w:t xml:space="preserve"> and collaboration plus embedding sustainability in all we do.</w:t>
      </w:r>
    </w:p>
    <w:p w14:paraId="055A5225" w14:textId="02CA19F2" w:rsidR="00A40A26" w:rsidRDefault="00BA3F89" w:rsidP="36C7B31F">
      <w:pPr>
        <w:pStyle w:val="Heading2"/>
        <w:spacing w:before="0" w:after="360"/>
      </w:pPr>
      <w:bookmarkStart w:id="10" w:name="_Toc170116839"/>
      <w:r>
        <w:t xml:space="preserve">Strategic rationale </w:t>
      </w:r>
      <w:r w:rsidR="005D01DA">
        <w:t>and</w:t>
      </w:r>
      <w:r>
        <w:t xml:space="preserve"> context</w:t>
      </w:r>
      <w:bookmarkEnd w:id="10"/>
    </w:p>
    <w:p w14:paraId="492A6A8C" w14:textId="77777777" w:rsidR="00BA3F89" w:rsidRPr="00A038E1" w:rsidRDefault="00BA3F89" w:rsidP="00F34D9A">
      <w:pPr>
        <w:spacing w:after="360"/>
        <w:rPr>
          <w:rFonts w:cs="Arial"/>
        </w:rPr>
      </w:pPr>
      <w:r w:rsidRPr="00A038E1">
        <w:rPr>
          <w:rFonts w:cs="Arial"/>
        </w:rPr>
        <w:t>What we procure and how we procure it is becoming increasingly important in our need to achieve greater efficiencies in a time of economic constraints as well as meeting the client/user demand for high quality and effective services.</w:t>
      </w:r>
    </w:p>
    <w:p w14:paraId="7B464AB5" w14:textId="77777777" w:rsidR="00BA3F89" w:rsidRPr="00A038E1" w:rsidRDefault="00BA3F89" w:rsidP="00BA3F89">
      <w:pPr>
        <w:spacing w:after="360" w:line="276" w:lineRule="auto"/>
        <w:rPr>
          <w:rFonts w:cs="Arial"/>
        </w:rPr>
      </w:pPr>
    </w:p>
    <w:p w14:paraId="52ACF764" w14:textId="18B853FC" w:rsidR="00BA3F89" w:rsidRPr="00567652" w:rsidRDefault="00BA3F89" w:rsidP="00BA3F89">
      <w:pPr>
        <w:spacing w:after="360"/>
        <w:rPr>
          <w:rFonts w:cs="Arial"/>
        </w:rPr>
      </w:pPr>
      <w:r w:rsidRPr="00A038E1">
        <w:rPr>
          <w:rFonts w:cs="Arial"/>
        </w:rPr>
        <w:t>The Library, as a</w:t>
      </w:r>
      <w:r w:rsidR="00AF39C0">
        <w:rPr>
          <w:rFonts w:cs="Arial"/>
        </w:rPr>
        <w:t xml:space="preserve"> </w:t>
      </w:r>
      <w:r w:rsidR="00E16282">
        <w:rPr>
          <w:rFonts w:cs="Arial"/>
        </w:rPr>
        <w:t>Non-Departmental</w:t>
      </w:r>
      <w:r w:rsidR="00057336">
        <w:rPr>
          <w:rFonts w:cs="Arial"/>
        </w:rPr>
        <w:t xml:space="preserve"> Public Body</w:t>
      </w:r>
      <w:r w:rsidRPr="00A038E1">
        <w:rPr>
          <w:rFonts w:cs="Arial"/>
        </w:rPr>
        <w:t xml:space="preserve"> </w:t>
      </w:r>
      <w:r w:rsidR="00057336">
        <w:rPr>
          <w:rFonts w:cs="Arial"/>
        </w:rPr>
        <w:t>(</w:t>
      </w:r>
      <w:r w:rsidRPr="00A038E1">
        <w:rPr>
          <w:rFonts w:cs="Arial"/>
        </w:rPr>
        <w:t>NDPB</w:t>
      </w:r>
      <w:r w:rsidR="00057336">
        <w:rPr>
          <w:rFonts w:cs="Arial"/>
        </w:rPr>
        <w:t>)</w:t>
      </w:r>
      <w:r w:rsidRPr="00A038E1">
        <w:rPr>
          <w:rFonts w:cs="Arial"/>
        </w:rPr>
        <w:t xml:space="preserve">, also has an obligation to comply with </w:t>
      </w:r>
      <w:r w:rsidR="006C165F">
        <w:rPr>
          <w:rFonts w:cs="Arial"/>
        </w:rPr>
        <w:t>p</w:t>
      </w:r>
      <w:r w:rsidRPr="00A038E1">
        <w:rPr>
          <w:rFonts w:cs="Arial"/>
        </w:rPr>
        <w:t>rocurement principles of transparency, equal treatment and non – discrimination and proportionality as instructed through Public Contracts (Scotland) Regulations 2015, Procurement (Scotland) Regulations 2016 and the Concession Contracts (Scotland) Regulations 2016.</w:t>
      </w:r>
    </w:p>
    <w:p w14:paraId="7C256464" w14:textId="592CA12F" w:rsidR="00BA3F89" w:rsidRPr="00A038E1" w:rsidRDefault="00BA3F89" w:rsidP="00BA3F89">
      <w:pPr>
        <w:spacing w:after="360"/>
        <w:rPr>
          <w:rFonts w:cs="Arial"/>
        </w:rPr>
      </w:pPr>
      <w:r w:rsidRPr="00567652">
        <w:rPr>
          <w:rFonts w:cs="Arial"/>
        </w:rPr>
        <w:t>Procurement is a devolved responsibility within the Library. Delegated Procuring Officers 'Buyers' authorised to procure goods, services and works n</w:t>
      </w:r>
      <w:r w:rsidRPr="00A038E1">
        <w:rPr>
          <w:rFonts w:cs="Arial"/>
        </w:rPr>
        <w:t>eed to do so within an agreed policy and procedural framework fully endorsed by the Library Leadership Team (LLT).</w:t>
      </w:r>
    </w:p>
    <w:p w14:paraId="4C7E7C2B" w14:textId="74EC078A" w:rsidR="00BA3F89" w:rsidRPr="00567652" w:rsidRDefault="00BA3F89" w:rsidP="00BA3F89">
      <w:pPr>
        <w:spacing w:after="360"/>
        <w:rPr>
          <w:rFonts w:cs="Arial"/>
        </w:rPr>
      </w:pPr>
      <w:r w:rsidRPr="00A038E1">
        <w:rPr>
          <w:rFonts w:cs="Arial"/>
        </w:rPr>
        <w:t>V</w:t>
      </w:r>
      <w:r w:rsidRPr="00567652">
        <w:rPr>
          <w:rFonts w:cs="Arial"/>
        </w:rPr>
        <w:t>ersion 6.0 of the Library Procurement Policy was endorsed by LLT in June 2024</w:t>
      </w:r>
      <w:r w:rsidR="00283171">
        <w:rPr>
          <w:rFonts w:cs="Arial"/>
        </w:rPr>
        <w:t>.</w:t>
      </w:r>
    </w:p>
    <w:p w14:paraId="453D6319" w14:textId="7F594F70" w:rsidR="00BA3F89" w:rsidRPr="00A038E1" w:rsidRDefault="00BA3F89" w:rsidP="00BA3F89">
      <w:pPr>
        <w:spacing w:after="360"/>
        <w:rPr>
          <w:rFonts w:cs="Arial"/>
        </w:rPr>
      </w:pPr>
      <w:r w:rsidRPr="00A038E1">
        <w:rPr>
          <w:rFonts w:cs="Arial"/>
        </w:rPr>
        <w:t xml:space="preserve">Library procurement policy, procedures and guidance reflect current public policy and guidelines and follow the </w:t>
      </w:r>
      <w:r w:rsidR="00057336">
        <w:rPr>
          <w:rFonts w:cs="Arial"/>
        </w:rPr>
        <w:t>P</w:t>
      </w:r>
      <w:r w:rsidRPr="00A038E1">
        <w:rPr>
          <w:rFonts w:cs="Arial"/>
        </w:rPr>
        <w:t xml:space="preserve">rocurement </w:t>
      </w:r>
      <w:r w:rsidRPr="00A038E1" w:rsidDel="002047F1">
        <w:rPr>
          <w:rFonts w:cs="Arial"/>
        </w:rPr>
        <w:t>J</w:t>
      </w:r>
      <w:r w:rsidRPr="00A038E1">
        <w:rPr>
          <w:rFonts w:cs="Arial"/>
        </w:rPr>
        <w:t xml:space="preserve">ourney. </w:t>
      </w:r>
    </w:p>
    <w:p w14:paraId="7142573A" w14:textId="7BD65D81" w:rsidR="00BA3F89" w:rsidRDefault="00BA3F89" w:rsidP="00BA3F89">
      <w:pPr>
        <w:spacing w:after="360"/>
        <w:rPr>
          <w:rFonts w:cs="Arial"/>
        </w:rPr>
      </w:pPr>
      <w:r w:rsidRPr="00A038E1">
        <w:rPr>
          <w:rFonts w:cs="Arial"/>
        </w:rPr>
        <w:t>The Library's Procurement &amp; Contracts Division</w:t>
      </w:r>
      <w:r w:rsidR="00EA114B">
        <w:rPr>
          <w:rFonts w:cs="Arial"/>
        </w:rPr>
        <w:t xml:space="preserve"> (from now referred to as</w:t>
      </w:r>
      <w:r w:rsidRPr="00A038E1">
        <w:rPr>
          <w:rFonts w:cs="Arial"/>
        </w:rPr>
        <w:t xml:space="preserve"> 'Procurement'</w:t>
      </w:r>
      <w:r w:rsidR="00EA114B">
        <w:rPr>
          <w:rFonts w:cs="Arial"/>
        </w:rPr>
        <w:t>)</w:t>
      </w:r>
      <w:r w:rsidRPr="00A038E1">
        <w:rPr>
          <w:rFonts w:cs="Arial"/>
        </w:rPr>
        <w:t xml:space="preserve"> is responsible for providing advice, guidance, </w:t>
      </w:r>
      <w:proofErr w:type="gramStart"/>
      <w:r w:rsidRPr="00A038E1">
        <w:rPr>
          <w:rFonts w:cs="Arial"/>
        </w:rPr>
        <w:t>support</w:t>
      </w:r>
      <w:proofErr w:type="gramEnd"/>
      <w:r w:rsidRPr="00A038E1">
        <w:rPr>
          <w:rFonts w:cs="Arial"/>
        </w:rPr>
        <w:t xml:space="preserve"> and training to </w:t>
      </w:r>
      <w:r w:rsidR="00173680">
        <w:rPr>
          <w:rFonts w:cs="Arial"/>
        </w:rPr>
        <w:t>d</w:t>
      </w:r>
      <w:r w:rsidRPr="00283171">
        <w:rPr>
          <w:rFonts w:cs="Arial"/>
        </w:rPr>
        <w:t xml:space="preserve">elegated </w:t>
      </w:r>
      <w:r w:rsidR="00173680">
        <w:rPr>
          <w:rFonts w:cs="Arial"/>
        </w:rPr>
        <w:t>p</w:t>
      </w:r>
      <w:r w:rsidRPr="00283171">
        <w:rPr>
          <w:rFonts w:cs="Arial"/>
        </w:rPr>
        <w:t xml:space="preserve">rocuring </w:t>
      </w:r>
      <w:r w:rsidR="00173680">
        <w:rPr>
          <w:rFonts w:cs="Arial"/>
        </w:rPr>
        <w:t>o</w:t>
      </w:r>
      <w:r w:rsidRPr="00283171">
        <w:rPr>
          <w:rFonts w:cs="Arial"/>
        </w:rPr>
        <w:t>fficers a</w:t>
      </w:r>
      <w:r w:rsidRPr="00A038E1">
        <w:rPr>
          <w:rFonts w:cs="Arial"/>
        </w:rPr>
        <w:t xml:space="preserve">nd </w:t>
      </w:r>
      <w:r w:rsidR="00173680">
        <w:rPr>
          <w:rFonts w:cs="Arial"/>
        </w:rPr>
        <w:t>c</w:t>
      </w:r>
      <w:r w:rsidRPr="00A038E1">
        <w:rPr>
          <w:rFonts w:cs="Arial"/>
        </w:rPr>
        <w:t xml:space="preserve">ontract </w:t>
      </w:r>
      <w:r w:rsidR="00173680">
        <w:rPr>
          <w:rFonts w:cs="Arial"/>
        </w:rPr>
        <w:t>m</w:t>
      </w:r>
      <w:r w:rsidRPr="00A038E1">
        <w:rPr>
          <w:rFonts w:cs="Arial"/>
        </w:rPr>
        <w:t>anagers as well as partnering them at an appropriate level on all low value and regulated procurement processes.</w:t>
      </w:r>
    </w:p>
    <w:p w14:paraId="06474C9B" w14:textId="50A0EDBE" w:rsidR="00BA3F89" w:rsidRPr="00487526" w:rsidRDefault="00BA3F89" w:rsidP="00BA3F89">
      <w:pPr>
        <w:pStyle w:val="Heading3"/>
        <w:spacing w:before="0" w:after="360"/>
      </w:pPr>
      <w:bookmarkStart w:id="11" w:name="_Toc170116840"/>
      <w:r>
        <w:t>Procurement principles</w:t>
      </w:r>
      <w:bookmarkEnd w:id="11"/>
    </w:p>
    <w:p w14:paraId="7E8F9D4C" w14:textId="77777777" w:rsidR="00BA3F89" w:rsidRPr="00A038E1" w:rsidRDefault="00BA3F89" w:rsidP="00BA3F89">
      <w:pPr>
        <w:spacing w:after="360"/>
        <w:rPr>
          <w:rStyle w:val="Hyperlink"/>
          <w:rFonts w:cs="Arial"/>
        </w:rPr>
      </w:pPr>
      <w:r w:rsidRPr="00A038E1">
        <w:rPr>
          <w:rFonts w:cs="Arial"/>
        </w:rPr>
        <w:t xml:space="preserve">This procurement plan is based on </w:t>
      </w:r>
      <w:proofErr w:type="gramStart"/>
      <w:r w:rsidRPr="00A038E1">
        <w:rPr>
          <w:rFonts w:cs="Arial"/>
        </w:rPr>
        <w:t>a number of</w:t>
      </w:r>
      <w:proofErr w:type="gramEnd"/>
      <w:r w:rsidRPr="00A038E1">
        <w:rPr>
          <w:rFonts w:cs="Arial"/>
        </w:rPr>
        <w:t xml:space="preserve"> procurement principles as described in the Library's procurement policy.</w:t>
      </w:r>
      <w:r w:rsidRPr="00A038E1" w:rsidDel="00056AA3">
        <w:rPr>
          <w:rFonts w:cs="Arial"/>
        </w:rPr>
        <w:t xml:space="preserve"> </w:t>
      </w:r>
    </w:p>
    <w:p w14:paraId="6756351B" w14:textId="18F6135A" w:rsidR="006A354E" w:rsidRDefault="006A354E" w:rsidP="36C7B31F">
      <w:pPr>
        <w:pStyle w:val="Heading2"/>
        <w:spacing w:before="0" w:after="360"/>
      </w:pPr>
      <w:bookmarkStart w:id="12" w:name="_Toc110486758"/>
      <w:bookmarkStart w:id="13" w:name="_Toc1296795139"/>
      <w:bookmarkStart w:id="14" w:name="_Toc1416093104"/>
      <w:bookmarkStart w:id="15" w:name="_Toc170116841"/>
      <w:r w:rsidRPr="00625263">
        <w:t>S</w:t>
      </w:r>
      <w:bookmarkEnd w:id="12"/>
      <w:bookmarkEnd w:id="13"/>
      <w:bookmarkEnd w:id="14"/>
      <w:r w:rsidR="00034B8A">
        <w:t xml:space="preserve">trategic aims, </w:t>
      </w:r>
      <w:proofErr w:type="gramStart"/>
      <w:r w:rsidR="00034B8A">
        <w:t>objectives</w:t>
      </w:r>
      <w:proofErr w:type="gramEnd"/>
      <w:r w:rsidR="00034B8A">
        <w:t xml:space="preserve"> </w:t>
      </w:r>
      <w:r w:rsidR="00755188">
        <w:t>and</w:t>
      </w:r>
      <w:r w:rsidR="00034B8A">
        <w:t xml:space="preserve"> key priorities</w:t>
      </w:r>
      <w:bookmarkEnd w:id="15"/>
    </w:p>
    <w:p w14:paraId="3F303D63" w14:textId="77777777" w:rsidR="00DC6C99" w:rsidRDefault="00034B8A" w:rsidP="00DC6C99">
      <w:pPr>
        <w:spacing w:after="360"/>
        <w:rPr>
          <w:rFonts w:cs="Arial"/>
        </w:rPr>
      </w:pPr>
      <w:r w:rsidRPr="00A038E1">
        <w:rPr>
          <w:rFonts w:cs="Arial"/>
        </w:rPr>
        <w:t xml:space="preserve">Through its procurement process and contract awards the Library will strive to achieve value to the public and value for money by maximising efficiency and collaboration, delivering savings and benefits, improving supplier access to Library </w:t>
      </w:r>
      <w:r w:rsidRPr="00A038E1">
        <w:rPr>
          <w:rFonts w:cs="Arial"/>
        </w:rPr>
        <w:lastRenderedPageBreak/>
        <w:t xml:space="preserve">public contracts, embedding sustainability whilst ensuring the sustainable development of a skilled and capable procurement workforce. </w:t>
      </w:r>
    </w:p>
    <w:p w14:paraId="12D4C4BB" w14:textId="5584D116" w:rsidR="00034B8A" w:rsidRPr="00DC6C99" w:rsidRDefault="00034B8A" w:rsidP="00DC6C99">
      <w:pPr>
        <w:spacing w:after="360"/>
        <w:rPr>
          <w:rFonts w:cs="Arial"/>
        </w:rPr>
      </w:pPr>
      <w:r w:rsidRPr="00A038E1">
        <w:rPr>
          <w:rFonts w:cs="Arial"/>
        </w:rPr>
        <w:t xml:space="preserve">In addition to the recurring planned procurement activity </w:t>
      </w:r>
      <w:r w:rsidR="00493581">
        <w:rPr>
          <w:rFonts w:cs="Arial"/>
        </w:rPr>
        <w:t>'</w:t>
      </w:r>
      <w:r w:rsidRPr="00A038E1">
        <w:rPr>
          <w:rFonts w:cs="Arial"/>
        </w:rPr>
        <w:t>Procurement</w:t>
      </w:r>
      <w:r w:rsidR="00493581">
        <w:rPr>
          <w:rFonts w:cs="Arial"/>
        </w:rPr>
        <w:t>'</w:t>
      </w:r>
      <w:r w:rsidRPr="00A038E1">
        <w:rPr>
          <w:rFonts w:cs="Arial"/>
        </w:rPr>
        <w:t xml:space="preserve"> will </w:t>
      </w:r>
      <w:r w:rsidRPr="00DC6C99">
        <w:rPr>
          <w:rFonts w:cs="Arial"/>
        </w:rPr>
        <w:t xml:space="preserve">support the Library Digital Department with its plans moving forward to transfer IT service and storage requirements from </w:t>
      </w:r>
      <w:r w:rsidR="0091000D">
        <w:rPr>
          <w:rFonts w:cs="Arial"/>
        </w:rPr>
        <w:t>'</w:t>
      </w:r>
      <w:r w:rsidRPr="00DC6C99">
        <w:rPr>
          <w:rFonts w:cs="Arial"/>
        </w:rPr>
        <w:t>on premise</w:t>
      </w:r>
      <w:r w:rsidR="0091000D">
        <w:rPr>
          <w:rFonts w:cs="Arial"/>
        </w:rPr>
        <w:t>'</w:t>
      </w:r>
      <w:r w:rsidRPr="00DC6C99">
        <w:rPr>
          <w:rFonts w:cs="Arial"/>
        </w:rPr>
        <w:t xml:space="preserve"> to the Cloud</w:t>
      </w:r>
      <w:r w:rsidR="00DC6C99">
        <w:rPr>
          <w:rFonts w:cs="Arial"/>
        </w:rPr>
        <w:t>.</w:t>
      </w:r>
    </w:p>
    <w:p w14:paraId="08BF4DC5" w14:textId="1D8CE3AB" w:rsidR="00487526" w:rsidRDefault="00DC6C99" w:rsidP="36C7B31F">
      <w:pPr>
        <w:pStyle w:val="Heading3"/>
        <w:spacing w:before="0" w:after="360"/>
      </w:pPr>
      <w:bookmarkStart w:id="16" w:name="_Toc170116842"/>
      <w:r>
        <w:t>Efficiency and collaboration</w:t>
      </w:r>
      <w:bookmarkEnd w:id="16"/>
    </w:p>
    <w:p w14:paraId="296BD639" w14:textId="77777777" w:rsidR="00A853F4" w:rsidRPr="00A038E1" w:rsidRDefault="00A853F4" w:rsidP="00A853F4">
      <w:pPr>
        <w:spacing w:after="360"/>
        <w:rPr>
          <w:rFonts w:cs="Arial"/>
        </w:rPr>
      </w:pPr>
      <w:r w:rsidRPr="00A038E1">
        <w:rPr>
          <w:rFonts w:cs="Arial"/>
        </w:rPr>
        <w:t>We will continue to:</w:t>
      </w:r>
    </w:p>
    <w:p w14:paraId="29060E3E" w14:textId="39C4E79E" w:rsidR="00A853F4" w:rsidRPr="00A038E1" w:rsidRDefault="00A853F4" w:rsidP="00A853F4">
      <w:pPr>
        <w:pStyle w:val="ListParagraph"/>
        <w:numPr>
          <w:ilvl w:val="0"/>
          <w:numId w:val="17"/>
        </w:numPr>
        <w:spacing w:before="100" w:afterLines="0" w:after="360"/>
        <w:ind w:left="714" w:hanging="357"/>
        <w:contextualSpacing w:val="0"/>
        <w:rPr>
          <w:rFonts w:cs="Arial"/>
        </w:rPr>
      </w:pPr>
      <w:r w:rsidRPr="00A038E1">
        <w:rPr>
          <w:rFonts w:cs="Arial"/>
        </w:rPr>
        <w:t xml:space="preserve">Work with our Scottish </w:t>
      </w:r>
      <w:r w:rsidR="00A224AC">
        <w:rPr>
          <w:rFonts w:cs="Arial"/>
        </w:rPr>
        <w:t xml:space="preserve">Government </w:t>
      </w:r>
      <w:r w:rsidR="0039389F">
        <w:rPr>
          <w:rFonts w:cs="Arial"/>
        </w:rPr>
        <w:t>Procurement Directorate</w:t>
      </w:r>
      <w:r w:rsidRPr="00A038E1">
        <w:rPr>
          <w:rFonts w:cs="Arial"/>
        </w:rPr>
        <w:t xml:space="preserve">, </w:t>
      </w:r>
      <w:r w:rsidR="00FF2F40">
        <w:rPr>
          <w:rFonts w:cs="Arial"/>
        </w:rPr>
        <w:t>n</w:t>
      </w:r>
      <w:r w:rsidRPr="00A038E1">
        <w:rPr>
          <w:rFonts w:cs="Arial"/>
        </w:rPr>
        <w:t xml:space="preserve">ational </w:t>
      </w:r>
      <w:r w:rsidR="00FF2F40">
        <w:rPr>
          <w:rFonts w:cs="Arial"/>
        </w:rPr>
        <w:t>i</w:t>
      </w:r>
      <w:r w:rsidRPr="00A038E1">
        <w:rPr>
          <w:rFonts w:cs="Arial"/>
        </w:rPr>
        <w:t xml:space="preserve">nstitutions and like-minded organisations, Procurement </w:t>
      </w:r>
      <w:r w:rsidR="00020347">
        <w:rPr>
          <w:rFonts w:cs="Arial"/>
        </w:rPr>
        <w:t>c</w:t>
      </w:r>
      <w:r w:rsidRPr="00A038E1">
        <w:rPr>
          <w:rFonts w:cs="Arial"/>
        </w:rPr>
        <w:t xml:space="preserve">luster </w:t>
      </w:r>
      <w:r w:rsidR="00020347">
        <w:rPr>
          <w:rFonts w:cs="Arial"/>
        </w:rPr>
        <w:t>g</w:t>
      </w:r>
      <w:r w:rsidRPr="00A038E1">
        <w:rPr>
          <w:rFonts w:cs="Arial"/>
        </w:rPr>
        <w:t xml:space="preserve">roup and other public organisations, including but not exclusive to the Scottish Parliament Corporate Body and National Records of Scotland to </w:t>
      </w:r>
      <w:proofErr w:type="spellStart"/>
      <w:r w:rsidRPr="00A038E1">
        <w:rPr>
          <w:rFonts w:cs="Arial"/>
        </w:rPr>
        <w:t>deiver</w:t>
      </w:r>
      <w:proofErr w:type="spellEnd"/>
      <w:r w:rsidRPr="00A038E1">
        <w:rPr>
          <w:rFonts w:cs="Arial"/>
        </w:rPr>
        <w:t xml:space="preserve"> procurement efficiencies through collaboration and sharing best practice. </w:t>
      </w:r>
    </w:p>
    <w:p w14:paraId="685D2994" w14:textId="77777777" w:rsidR="00A853F4" w:rsidRPr="00A038E1" w:rsidRDefault="00A853F4" w:rsidP="00A853F4">
      <w:pPr>
        <w:pStyle w:val="ListParagraph"/>
        <w:numPr>
          <w:ilvl w:val="0"/>
          <w:numId w:val="17"/>
        </w:numPr>
        <w:spacing w:before="100" w:afterLines="0" w:after="360"/>
        <w:ind w:left="714" w:hanging="357"/>
        <w:contextualSpacing w:val="0"/>
        <w:rPr>
          <w:rFonts w:cs="Arial"/>
        </w:rPr>
      </w:pPr>
      <w:r w:rsidRPr="00A038E1">
        <w:rPr>
          <w:rFonts w:cs="Arial"/>
        </w:rPr>
        <w:t xml:space="preserve">Analyse </w:t>
      </w:r>
      <w:proofErr w:type="gramStart"/>
      <w:r w:rsidRPr="00A038E1">
        <w:rPr>
          <w:rFonts w:cs="Arial"/>
        </w:rPr>
        <w:t>spend</w:t>
      </w:r>
      <w:proofErr w:type="gramEnd"/>
      <w:r w:rsidRPr="00A038E1">
        <w:rPr>
          <w:rFonts w:cs="Arial"/>
        </w:rPr>
        <w:t xml:space="preserve"> in order to review opportunities to collaborate with local partners.</w:t>
      </w:r>
    </w:p>
    <w:p w14:paraId="5910F06D" w14:textId="77777777" w:rsidR="00A853F4" w:rsidRPr="00A038E1" w:rsidRDefault="00A853F4" w:rsidP="00A853F4">
      <w:pPr>
        <w:pStyle w:val="ListParagraph"/>
        <w:numPr>
          <w:ilvl w:val="0"/>
          <w:numId w:val="17"/>
        </w:numPr>
        <w:spacing w:before="100" w:afterLines="0" w:after="360"/>
        <w:ind w:left="714" w:hanging="357"/>
        <w:contextualSpacing w:val="0"/>
        <w:rPr>
          <w:rFonts w:cs="Arial"/>
        </w:rPr>
      </w:pPr>
      <w:r w:rsidRPr="00A038E1">
        <w:rPr>
          <w:rFonts w:cs="Arial"/>
        </w:rPr>
        <w:t xml:space="preserve">Monitor our usage of applicable National and Sectoral framework contracts, UK OGC Frameworks including G Cloud services and aim to increase these where appropriate. </w:t>
      </w:r>
    </w:p>
    <w:p w14:paraId="79E46162" w14:textId="50CB5F01" w:rsidR="00A853F4" w:rsidRPr="00A038E1" w:rsidRDefault="00A853F4" w:rsidP="00A853F4">
      <w:pPr>
        <w:spacing w:after="360"/>
        <w:rPr>
          <w:rFonts w:cs="Arial"/>
        </w:rPr>
      </w:pPr>
      <w:r w:rsidRPr="00A038E1">
        <w:rPr>
          <w:rFonts w:cs="Arial"/>
        </w:rPr>
        <w:t xml:space="preserve">Develop local collaborative procurement with members of </w:t>
      </w:r>
      <w:r w:rsidR="003370E2">
        <w:rPr>
          <w:rFonts w:cs="Arial"/>
        </w:rPr>
        <w:t>p</w:t>
      </w:r>
      <w:r w:rsidRPr="00A038E1">
        <w:rPr>
          <w:rFonts w:cs="Arial"/>
        </w:rPr>
        <w:t xml:space="preserve">rocurement </w:t>
      </w:r>
      <w:r w:rsidR="0076139F">
        <w:rPr>
          <w:rFonts w:cs="Arial"/>
        </w:rPr>
        <w:t>c</w:t>
      </w:r>
      <w:r w:rsidRPr="00A038E1">
        <w:rPr>
          <w:rFonts w:cs="Arial"/>
        </w:rPr>
        <w:t xml:space="preserve">luster </w:t>
      </w:r>
      <w:r w:rsidR="0076139F">
        <w:rPr>
          <w:rFonts w:cs="Arial"/>
        </w:rPr>
        <w:t>g</w:t>
      </w:r>
      <w:r w:rsidRPr="00A038E1">
        <w:rPr>
          <w:rFonts w:cs="Arial"/>
        </w:rPr>
        <w:t>roup</w:t>
      </w:r>
      <w:r w:rsidR="003370E2">
        <w:rPr>
          <w:rFonts w:cs="Arial"/>
        </w:rPr>
        <w:t>s</w:t>
      </w:r>
      <w:r w:rsidRPr="00A038E1">
        <w:rPr>
          <w:rFonts w:cs="Arial"/>
        </w:rPr>
        <w:t xml:space="preserve">, </w:t>
      </w:r>
      <w:r w:rsidR="003370E2">
        <w:rPr>
          <w:rFonts w:cs="Arial"/>
        </w:rPr>
        <w:t>n</w:t>
      </w:r>
      <w:r w:rsidRPr="00A038E1">
        <w:rPr>
          <w:rFonts w:cs="Arial"/>
        </w:rPr>
        <w:t xml:space="preserve">ational </w:t>
      </w:r>
      <w:proofErr w:type="gramStart"/>
      <w:r w:rsidR="003C743F">
        <w:rPr>
          <w:rFonts w:cs="Arial"/>
        </w:rPr>
        <w:t>i</w:t>
      </w:r>
      <w:r w:rsidRPr="00A038E1">
        <w:rPr>
          <w:rFonts w:cs="Arial"/>
        </w:rPr>
        <w:t>nstitutions</w:t>
      </w:r>
      <w:proofErr w:type="gramEnd"/>
      <w:r w:rsidRPr="00A038E1">
        <w:rPr>
          <w:rFonts w:cs="Arial"/>
        </w:rPr>
        <w:t xml:space="preserve"> and </w:t>
      </w:r>
      <w:r w:rsidR="003C743F">
        <w:rPr>
          <w:rFonts w:cs="Arial"/>
        </w:rPr>
        <w:t>f</w:t>
      </w:r>
      <w:r w:rsidRPr="00A038E1">
        <w:rPr>
          <w:rFonts w:cs="Arial"/>
        </w:rPr>
        <w:t xml:space="preserve">urther </w:t>
      </w:r>
      <w:r w:rsidR="003C743F">
        <w:rPr>
          <w:rFonts w:cs="Arial"/>
        </w:rPr>
        <w:t>e</w:t>
      </w:r>
      <w:r w:rsidRPr="00A038E1">
        <w:rPr>
          <w:rFonts w:cs="Arial"/>
        </w:rPr>
        <w:t xml:space="preserve">ducation </w:t>
      </w:r>
      <w:r w:rsidR="003C743F">
        <w:rPr>
          <w:rFonts w:cs="Arial"/>
        </w:rPr>
        <w:t>i</w:t>
      </w:r>
      <w:r w:rsidRPr="00A038E1">
        <w:rPr>
          <w:rFonts w:cs="Arial"/>
        </w:rPr>
        <w:t>nstitutions</w:t>
      </w:r>
      <w:r>
        <w:rPr>
          <w:rFonts w:cs="Arial"/>
        </w:rPr>
        <w:t>.</w:t>
      </w:r>
      <w:r w:rsidRPr="00A038E1">
        <w:rPr>
          <w:rFonts w:cs="Arial"/>
        </w:rPr>
        <w:t xml:space="preserve"> </w:t>
      </w:r>
    </w:p>
    <w:p w14:paraId="3C4FECF8" w14:textId="3977E767" w:rsidR="00A853F4" w:rsidRPr="00A038E1" w:rsidRDefault="00A853F4" w:rsidP="00A853F4">
      <w:pPr>
        <w:spacing w:after="360"/>
        <w:rPr>
          <w:rFonts w:cs="Arial"/>
        </w:rPr>
      </w:pPr>
      <w:r w:rsidRPr="00A038E1">
        <w:rPr>
          <w:rFonts w:cs="Arial"/>
        </w:rPr>
        <w:t xml:space="preserve">The Library will remain fully engaged with the collaborative efforts of Scottish Procurement and Commercial Directorate and representatives from the Library will participate in </w:t>
      </w:r>
      <w:r w:rsidR="0073071F">
        <w:rPr>
          <w:rFonts w:cs="Arial"/>
        </w:rPr>
        <w:t>n</w:t>
      </w:r>
      <w:r w:rsidRPr="00A038E1">
        <w:rPr>
          <w:rFonts w:cs="Arial"/>
        </w:rPr>
        <w:t xml:space="preserve">ational </w:t>
      </w:r>
      <w:r w:rsidR="0073071F">
        <w:rPr>
          <w:rFonts w:cs="Arial"/>
        </w:rPr>
        <w:t>f</w:t>
      </w:r>
      <w:r w:rsidRPr="00A038E1">
        <w:rPr>
          <w:rFonts w:cs="Arial"/>
        </w:rPr>
        <w:t xml:space="preserve">orums and </w:t>
      </w:r>
      <w:r w:rsidR="0073071F">
        <w:rPr>
          <w:rFonts w:cs="Arial"/>
        </w:rPr>
        <w:t>u</w:t>
      </w:r>
      <w:r w:rsidRPr="00A038E1">
        <w:rPr>
          <w:rFonts w:cs="Arial"/>
        </w:rPr>
        <w:t xml:space="preserve">ser </w:t>
      </w:r>
      <w:r w:rsidR="0073071F">
        <w:rPr>
          <w:rFonts w:cs="Arial"/>
        </w:rPr>
        <w:t>i</w:t>
      </w:r>
      <w:r w:rsidRPr="00A038E1">
        <w:rPr>
          <w:rFonts w:cs="Arial"/>
        </w:rPr>
        <w:t xml:space="preserve">ntelligence </w:t>
      </w:r>
      <w:r w:rsidR="0073071F">
        <w:rPr>
          <w:rFonts w:cs="Arial"/>
        </w:rPr>
        <w:t>g</w:t>
      </w:r>
      <w:r w:rsidRPr="00A038E1">
        <w:rPr>
          <w:rFonts w:cs="Arial"/>
        </w:rPr>
        <w:t xml:space="preserve">roups, where appropriate. </w:t>
      </w:r>
    </w:p>
    <w:p w14:paraId="588228BA" w14:textId="0117201C" w:rsidR="00A853F4" w:rsidRDefault="00A853F4" w:rsidP="00A853F4">
      <w:pPr>
        <w:spacing w:after="360"/>
        <w:rPr>
          <w:rFonts w:cs="Arial"/>
        </w:rPr>
      </w:pPr>
      <w:r w:rsidRPr="00A038E1">
        <w:rPr>
          <w:rFonts w:cs="Arial"/>
        </w:rPr>
        <w:t xml:space="preserve">To achieve value for money all regulated procurements will </w:t>
      </w:r>
      <w:r w:rsidR="00F80637">
        <w:rPr>
          <w:rFonts w:cs="Arial"/>
        </w:rPr>
        <w:t xml:space="preserve">be </w:t>
      </w:r>
      <w:r w:rsidRPr="00A038E1">
        <w:rPr>
          <w:rFonts w:cs="Arial"/>
        </w:rPr>
        <w:t xml:space="preserve">tendered on the best price </w:t>
      </w:r>
      <w:r w:rsidR="0073071F">
        <w:rPr>
          <w:rFonts w:cs="Arial"/>
        </w:rPr>
        <w:t>and</w:t>
      </w:r>
      <w:r w:rsidRPr="00A038E1">
        <w:rPr>
          <w:rFonts w:cs="Arial"/>
        </w:rPr>
        <w:t xml:space="preserve"> quality ratio.</w:t>
      </w:r>
    </w:p>
    <w:p w14:paraId="5891271F" w14:textId="68F85D7F" w:rsidR="00A853F4" w:rsidRDefault="00A853F4" w:rsidP="00A853F4">
      <w:pPr>
        <w:pStyle w:val="Heading3"/>
        <w:spacing w:before="0" w:after="360"/>
      </w:pPr>
      <w:bookmarkStart w:id="17" w:name="_Toc170116843"/>
      <w:r>
        <w:lastRenderedPageBreak/>
        <w:t>Savings and benefits</w:t>
      </w:r>
      <w:bookmarkEnd w:id="17"/>
    </w:p>
    <w:p w14:paraId="48CB8BC0" w14:textId="77777777" w:rsidR="005957EF" w:rsidRPr="00A038E1" w:rsidRDefault="005957EF" w:rsidP="005957EF">
      <w:pPr>
        <w:spacing w:after="360"/>
        <w:rPr>
          <w:rFonts w:cs="Arial"/>
        </w:rPr>
      </w:pPr>
      <w:r w:rsidRPr="00A038E1">
        <w:rPr>
          <w:rFonts w:cs="Arial"/>
          <w:iCs/>
        </w:rPr>
        <w:t>'Procurement'</w:t>
      </w:r>
      <w:r w:rsidRPr="00A038E1">
        <w:rPr>
          <w:rFonts w:cs="Arial"/>
          <w:i/>
        </w:rPr>
        <w:t xml:space="preserve"> </w:t>
      </w:r>
      <w:r w:rsidRPr="00A038E1">
        <w:rPr>
          <w:rFonts w:cs="Arial"/>
        </w:rPr>
        <w:t xml:space="preserve">will continue to monitor procurement outcomes, </w:t>
      </w:r>
      <w:proofErr w:type="gramStart"/>
      <w:r w:rsidRPr="00A038E1">
        <w:rPr>
          <w:rFonts w:cs="Arial"/>
        </w:rPr>
        <w:t>produce</w:t>
      </w:r>
      <w:proofErr w:type="gramEnd"/>
      <w:r w:rsidRPr="00A038E1">
        <w:rPr>
          <w:rFonts w:cs="Arial"/>
        </w:rPr>
        <w:t xml:space="preserve"> and widely share procurement management information, including quarterly and annual procurement Best Practice Indicators (BPIs) a summary of which is reported annually to the Library's Audit Committee.</w:t>
      </w:r>
    </w:p>
    <w:p w14:paraId="47852CF6" w14:textId="77777777" w:rsidR="005957EF" w:rsidRDefault="005957EF" w:rsidP="005957EF">
      <w:pPr>
        <w:spacing w:after="360"/>
        <w:rPr>
          <w:rFonts w:cs="Arial"/>
        </w:rPr>
      </w:pPr>
      <w:r w:rsidRPr="00A038E1">
        <w:rPr>
          <w:rFonts w:cs="Arial"/>
        </w:rPr>
        <w:t xml:space="preserve">During the period of the plan we will review, assess and </w:t>
      </w:r>
      <w:proofErr w:type="gramStart"/>
      <w:r w:rsidRPr="00A038E1">
        <w:rPr>
          <w:rFonts w:cs="Arial"/>
        </w:rPr>
        <w:t>amend</w:t>
      </w:r>
      <w:proofErr w:type="gramEnd"/>
      <w:r w:rsidRPr="00A038E1">
        <w:rPr>
          <w:rFonts w:cs="Arial"/>
        </w:rPr>
        <w:t xml:space="preserve"> if necessary, the BPI categories being measured to ensure the data collected and reported is fit for purpose and meets current sectoral and national requirements. </w:t>
      </w:r>
    </w:p>
    <w:p w14:paraId="4C8CD305" w14:textId="0214F197" w:rsidR="00950CDE" w:rsidRPr="00A038E1" w:rsidRDefault="00950CDE" w:rsidP="00950CDE">
      <w:pPr>
        <w:spacing w:after="360"/>
        <w:rPr>
          <w:rFonts w:cs="Arial"/>
        </w:rPr>
      </w:pPr>
      <w:r w:rsidRPr="00A038E1">
        <w:rPr>
          <w:rFonts w:cs="Arial"/>
        </w:rPr>
        <w:t xml:space="preserve">In addition, we will review and </w:t>
      </w:r>
      <w:proofErr w:type="gramStart"/>
      <w:r w:rsidRPr="00A038E1">
        <w:rPr>
          <w:rFonts w:cs="Arial"/>
        </w:rPr>
        <w:t>improve</w:t>
      </w:r>
      <w:proofErr w:type="gramEnd"/>
      <w:r w:rsidRPr="00A038E1">
        <w:rPr>
          <w:rFonts w:cs="Arial"/>
        </w:rPr>
        <w:t xml:space="preserve"> if necessary, our processes and procedures for measuring the value of</w:t>
      </w:r>
      <w:r w:rsidR="00136C97">
        <w:rPr>
          <w:rFonts w:cs="Arial"/>
        </w:rPr>
        <w:t xml:space="preserve"> Small or Medium Enterprise</w:t>
      </w:r>
      <w:r w:rsidRPr="00A038E1">
        <w:rPr>
          <w:rFonts w:cs="Arial"/>
        </w:rPr>
        <w:t xml:space="preserve"> </w:t>
      </w:r>
      <w:r w:rsidR="00136C97">
        <w:rPr>
          <w:rFonts w:cs="Arial"/>
        </w:rPr>
        <w:t>(</w:t>
      </w:r>
      <w:r w:rsidRPr="00A038E1">
        <w:rPr>
          <w:rFonts w:cs="Arial"/>
        </w:rPr>
        <w:t>SME</w:t>
      </w:r>
      <w:r w:rsidR="00136C97">
        <w:rPr>
          <w:rFonts w:cs="Arial"/>
        </w:rPr>
        <w:t>)</w:t>
      </w:r>
      <w:r w:rsidRPr="00A038E1">
        <w:rPr>
          <w:rFonts w:cs="Arial"/>
        </w:rPr>
        <w:t xml:space="preserve"> engagement throughout the supply chain on </w:t>
      </w:r>
      <w:r>
        <w:rPr>
          <w:rFonts w:cs="Arial"/>
        </w:rPr>
        <w:t>all advertised regulated contracts.</w:t>
      </w:r>
    </w:p>
    <w:p w14:paraId="73983987" w14:textId="052F1A6F" w:rsidR="00950CDE" w:rsidRPr="00A038E1" w:rsidRDefault="00950CDE" w:rsidP="00950CDE">
      <w:pPr>
        <w:spacing w:after="360"/>
        <w:rPr>
          <w:rFonts w:cs="Arial"/>
        </w:rPr>
      </w:pPr>
      <w:r w:rsidRPr="00A038E1">
        <w:rPr>
          <w:rFonts w:cs="Arial"/>
        </w:rPr>
        <w:t>Similarly, we will review and improve</w:t>
      </w:r>
      <w:r w:rsidR="00145E4F">
        <w:rPr>
          <w:rFonts w:cs="Arial"/>
        </w:rPr>
        <w:t>,</w:t>
      </w:r>
      <w:r w:rsidRPr="00A038E1">
        <w:rPr>
          <w:rFonts w:cs="Arial"/>
        </w:rPr>
        <w:t xml:space="preserve"> if necessary, our processes and procedures for reporting cash and non–cash savings made </w:t>
      </w:r>
      <w:proofErr w:type="gramStart"/>
      <w:r w:rsidRPr="00A038E1">
        <w:rPr>
          <w:rFonts w:cs="Arial"/>
        </w:rPr>
        <w:t>through the use of</w:t>
      </w:r>
      <w:proofErr w:type="gramEnd"/>
      <w:r w:rsidRPr="00A038E1">
        <w:rPr>
          <w:rFonts w:cs="Arial"/>
        </w:rPr>
        <w:t xml:space="preserve"> direct procurement. Also</w:t>
      </w:r>
      <w:r w:rsidR="00F07FE0">
        <w:rPr>
          <w:rFonts w:cs="Arial"/>
        </w:rPr>
        <w:t>,</w:t>
      </w:r>
      <w:r w:rsidRPr="00A038E1">
        <w:rPr>
          <w:rFonts w:cs="Arial"/>
        </w:rPr>
        <w:t xml:space="preserve"> the non-cash benefits of adopting frameworks, where available, over direct awarded contracts.</w:t>
      </w:r>
    </w:p>
    <w:p w14:paraId="5BE425EE" w14:textId="4B229B1F" w:rsidR="00950CDE" w:rsidRPr="00A038E1" w:rsidRDefault="00950CDE" w:rsidP="00950CDE">
      <w:pPr>
        <w:spacing w:after="360"/>
        <w:rPr>
          <w:rFonts w:cs="Arial"/>
        </w:rPr>
      </w:pPr>
      <w:r w:rsidRPr="00A038E1">
        <w:rPr>
          <w:rFonts w:cs="Arial"/>
        </w:rPr>
        <w:t xml:space="preserve">Library contract managers are required to manage contracts </w:t>
      </w:r>
      <w:r w:rsidR="006A649A">
        <w:rPr>
          <w:rFonts w:cs="Arial"/>
        </w:rPr>
        <w:t>and</w:t>
      </w:r>
      <w:r w:rsidRPr="00A038E1">
        <w:rPr>
          <w:rFonts w:cs="Arial"/>
        </w:rPr>
        <w:t xml:space="preserve"> contractors in accordance with the contract conditions, to assist them in the process of effective supplier and contract management 'Procurement'</w:t>
      </w:r>
      <w:r w:rsidRPr="00A038E1">
        <w:rPr>
          <w:rFonts w:cs="Arial"/>
          <w:i/>
        </w:rPr>
        <w:t xml:space="preserve"> </w:t>
      </w:r>
      <w:r w:rsidRPr="00A038E1">
        <w:rPr>
          <w:rFonts w:cs="Arial"/>
        </w:rPr>
        <w:t xml:space="preserve">will develop and continue to make available on the Library SharePoint a set of contract management guidelines, processes, </w:t>
      </w:r>
      <w:proofErr w:type="gramStart"/>
      <w:r w:rsidRPr="00A038E1">
        <w:rPr>
          <w:rFonts w:cs="Arial"/>
        </w:rPr>
        <w:t>procedures</w:t>
      </w:r>
      <w:proofErr w:type="gramEnd"/>
      <w:r w:rsidRPr="00A038E1">
        <w:rPr>
          <w:rFonts w:cs="Arial"/>
        </w:rPr>
        <w:t xml:space="preserve"> and toolkits and will introduce a ‘Procurement’ led process to ensure key contracts are monitored.</w:t>
      </w:r>
    </w:p>
    <w:p w14:paraId="3E5DBACD" w14:textId="752E08EF" w:rsidR="00E807DB" w:rsidRDefault="00E807DB" w:rsidP="00E807DB">
      <w:pPr>
        <w:pStyle w:val="Heading3"/>
        <w:spacing w:before="0" w:after="360"/>
      </w:pPr>
      <w:bookmarkStart w:id="18" w:name="_Toc170116844"/>
      <w:r>
        <w:t>Access</w:t>
      </w:r>
      <w:bookmarkEnd w:id="18"/>
    </w:p>
    <w:p w14:paraId="24F81C4A" w14:textId="341C41F1" w:rsidR="00E807DB" w:rsidRPr="00A038E1" w:rsidRDefault="00E807DB" w:rsidP="00E807DB">
      <w:pPr>
        <w:spacing w:after="360"/>
        <w:rPr>
          <w:rFonts w:cs="Arial"/>
        </w:rPr>
      </w:pPr>
      <w:r w:rsidRPr="00A038E1">
        <w:rPr>
          <w:rFonts w:cs="Arial"/>
        </w:rPr>
        <w:t>All regulated public contracts procured directly by the Library will continue to be advertised on the Public Contracts Scotland advertising portal in accordance with the appropriate Regulations</w:t>
      </w:r>
      <w:r w:rsidR="005D0087">
        <w:rPr>
          <w:rFonts w:cs="Arial"/>
        </w:rPr>
        <w:t>.</w:t>
      </w:r>
      <w:r w:rsidRPr="00A038E1">
        <w:rPr>
          <w:rFonts w:cs="Arial"/>
        </w:rPr>
        <w:t xml:space="preserve"> </w:t>
      </w:r>
      <w:r w:rsidR="005D0087">
        <w:rPr>
          <w:rFonts w:cs="Arial"/>
        </w:rPr>
        <w:t>T</w:t>
      </w:r>
      <w:r w:rsidRPr="00A038E1">
        <w:rPr>
          <w:rFonts w:cs="Arial"/>
        </w:rPr>
        <w:t>his ensures compliance with our duty to treat relevant economic operators equally and without discrimination and to act in a transparent and proportionate manner.</w:t>
      </w:r>
    </w:p>
    <w:p w14:paraId="13B627C4" w14:textId="77777777" w:rsidR="00E807DB" w:rsidRPr="00A038E1" w:rsidRDefault="00E807DB" w:rsidP="00E807DB">
      <w:pPr>
        <w:spacing w:after="360"/>
        <w:rPr>
          <w:rFonts w:cs="Arial"/>
        </w:rPr>
      </w:pPr>
      <w:r w:rsidRPr="00A038E1">
        <w:rPr>
          <w:rFonts w:cs="Arial"/>
        </w:rPr>
        <w:lastRenderedPageBreak/>
        <w:t>We will continue to support events for suppliers wishing to understand our procurement processes in more detail.</w:t>
      </w:r>
    </w:p>
    <w:p w14:paraId="4954E691" w14:textId="4C02573A" w:rsidR="00E807DB" w:rsidRPr="00A038E1" w:rsidRDefault="00E807DB" w:rsidP="00E807DB">
      <w:pPr>
        <w:spacing w:after="360"/>
        <w:rPr>
          <w:rFonts w:cs="Arial"/>
        </w:rPr>
      </w:pPr>
      <w:r w:rsidRPr="00A038E1">
        <w:rPr>
          <w:rFonts w:cs="Arial"/>
        </w:rPr>
        <w:t>The</w:t>
      </w:r>
      <w:r w:rsidR="00136C97">
        <w:rPr>
          <w:rFonts w:cs="Arial"/>
        </w:rPr>
        <w:t xml:space="preserve"> Single Procurement Document</w:t>
      </w:r>
      <w:r w:rsidRPr="00A038E1">
        <w:rPr>
          <w:rFonts w:cs="Arial"/>
        </w:rPr>
        <w:t xml:space="preserve"> </w:t>
      </w:r>
      <w:r w:rsidR="00136C97">
        <w:rPr>
          <w:rFonts w:cs="Arial"/>
        </w:rPr>
        <w:t>(</w:t>
      </w:r>
      <w:r w:rsidRPr="00A038E1">
        <w:rPr>
          <w:rFonts w:cs="Arial"/>
        </w:rPr>
        <w:t>SPD</w:t>
      </w:r>
      <w:r w:rsidR="00136C97">
        <w:rPr>
          <w:rFonts w:cs="Arial"/>
        </w:rPr>
        <w:t>)</w:t>
      </w:r>
      <w:r w:rsidRPr="00A038E1">
        <w:rPr>
          <w:rFonts w:cs="Arial"/>
        </w:rPr>
        <w:t xml:space="preserve"> </w:t>
      </w:r>
      <w:r>
        <w:rPr>
          <w:rFonts w:cs="Arial"/>
        </w:rPr>
        <w:t xml:space="preserve">online module </w:t>
      </w:r>
      <w:r w:rsidRPr="00A038E1">
        <w:rPr>
          <w:rFonts w:cs="Arial"/>
        </w:rPr>
        <w:t>has been adopted for all appropriate</w:t>
      </w:r>
      <w:r w:rsidR="0040613C">
        <w:rPr>
          <w:rFonts w:cs="Arial"/>
        </w:rPr>
        <w:t xml:space="preserve"> Government Procurement Agreement</w:t>
      </w:r>
      <w:r w:rsidRPr="00A038E1">
        <w:rPr>
          <w:rFonts w:cs="Arial"/>
        </w:rPr>
        <w:t xml:space="preserve"> </w:t>
      </w:r>
      <w:r w:rsidR="0040613C">
        <w:rPr>
          <w:rFonts w:cs="Arial"/>
        </w:rPr>
        <w:t>(</w:t>
      </w:r>
      <w:r w:rsidRPr="00A038E1">
        <w:rPr>
          <w:rFonts w:cs="Arial"/>
        </w:rPr>
        <w:t>GPA</w:t>
      </w:r>
      <w:r w:rsidR="0040613C">
        <w:rPr>
          <w:rFonts w:cs="Arial"/>
        </w:rPr>
        <w:t>)</w:t>
      </w:r>
      <w:r w:rsidRPr="00A038E1">
        <w:rPr>
          <w:rFonts w:cs="Arial"/>
        </w:rPr>
        <w:t xml:space="preserve"> threshold contracts and Regulated sub-GPA threshold contracts. </w:t>
      </w:r>
    </w:p>
    <w:p w14:paraId="76079DA3" w14:textId="77777777" w:rsidR="00E807DB" w:rsidRPr="00A038E1" w:rsidRDefault="00E807DB" w:rsidP="00E807DB">
      <w:pPr>
        <w:spacing w:after="360"/>
        <w:rPr>
          <w:rFonts w:cs="Arial"/>
        </w:rPr>
      </w:pPr>
      <w:r w:rsidRPr="00A038E1">
        <w:rPr>
          <w:rFonts w:cs="Arial"/>
        </w:rPr>
        <w:t>Commercial opportunities for the digitisation of special collections (if any) will be advertised on the Library web site and by any other means as deemed suitable.</w:t>
      </w:r>
    </w:p>
    <w:p w14:paraId="72344AB9" w14:textId="2B214FC8" w:rsidR="00E807DB" w:rsidRPr="00A038E1" w:rsidRDefault="00E807DB" w:rsidP="00E807DB">
      <w:pPr>
        <w:spacing w:after="360"/>
        <w:rPr>
          <w:rFonts w:cs="Arial"/>
        </w:rPr>
      </w:pPr>
      <w:r>
        <w:rPr>
          <w:rFonts w:cs="Arial"/>
        </w:rPr>
        <w:t>W</w:t>
      </w:r>
      <w:r w:rsidRPr="00A038E1">
        <w:rPr>
          <w:rFonts w:cs="Arial"/>
        </w:rPr>
        <w:t xml:space="preserve">e will look at how we can develop and increase our engagement with </w:t>
      </w:r>
      <w:r w:rsidR="00C32B44">
        <w:rPr>
          <w:rFonts w:cs="Arial"/>
        </w:rPr>
        <w:t>S</w:t>
      </w:r>
      <w:r w:rsidRPr="00A038E1">
        <w:rPr>
          <w:rFonts w:cs="Arial"/>
        </w:rPr>
        <w:t xml:space="preserve">upported </w:t>
      </w:r>
      <w:r w:rsidRPr="00A038E1" w:rsidDel="003021B0">
        <w:rPr>
          <w:rFonts w:cs="Arial"/>
        </w:rPr>
        <w:t>B</w:t>
      </w:r>
      <w:r w:rsidRPr="00A038E1">
        <w:rPr>
          <w:rFonts w:cs="Arial"/>
        </w:rPr>
        <w:t>usinesses.</w:t>
      </w:r>
    </w:p>
    <w:p w14:paraId="7B81B157" w14:textId="77777777" w:rsidR="00E807DB" w:rsidRPr="00A038E1" w:rsidRDefault="00E807DB" w:rsidP="00E807DB">
      <w:pPr>
        <w:spacing w:after="360"/>
        <w:rPr>
          <w:rFonts w:cs="Arial"/>
        </w:rPr>
      </w:pPr>
      <w:r w:rsidRPr="00A038E1">
        <w:rPr>
          <w:rFonts w:cs="Arial"/>
        </w:rPr>
        <w:t>Similarly, over the period of the plan we will look at means of reporting on our engagement with SMEs, third sector organisations and social enterprises.</w:t>
      </w:r>
    </w:p>
    <w:p w14:paraId="17A63E77" w14:textId="77777777" w:rsidR="00E807DB" w:rsidRPr="00A038E1" w:rsidRDefault="00E807DB" w:rsidP="00E807DB">
      <w:pPr>
        <w:spacing w:after="360"/>
        <w:rPr>
          <w:rFonts w:cs="Arial"/>
        </w:rPr>
      </w:pPr>
      <w:r w:rsidRPr="00A038E1">
        <w:rPr>
          <w:rFonts w:cs="Arial"/>
        </w:rPr>
        <w:t>As a requirement of the Procurement Reform (Scotland) Act 2014, the Library has published its regulated contracts register on Public Contract Scotland (PCS). Over the period of the plan the Library will consider making publicly available its wave plan of planned regulated procurements.</w:t>
      </w:r>
    </w:p>
    <w:p w14:paraId="5C16C404" w14:textId="757353E2" w:rsidR="00E807DB" w:rsidRDefault="00E807DB" w:rsidP="00E807DB">
      <w:pPr>
        <w:pStyle w:val="Heading3"/>
        <w:spacing w:before="0" w:after="360"/>
      </w:pPr>
      <w:bookmarkStart w:id="19" w:name="_Toc170116845"/>
      <w:r>
        <w:t>Sustainability</w:t>
      </w:r>
      <w:bookmarkEnd w:id="19"/>
    </w:p>
    <w:p w14:paraId="241464C6" w14:textId="4B0FDFA8" w:rsidR="004B7640" w:rsidRPr="00A038E1" w:rsidRDefault="004B7640" w:rsidP="004B7640">
      <w:pPr>
        <w:spacing w:after="360"/>
        <w:rPr>
          <w:rFonts w:cs="Arial"/>
        </w:rPr>
      </w:pPr>
      <w:r w:rsidRPr="00A038E1">
        <w:rPr>
          <w:rFonts w:cs="Arial"/>
        </w:rPr>
        <w:t xml:space="preserve">For </w:t>
      </w:r>
      <w:proofErr w:type="gramStart"/>
      <w:r w:rsidRPr="00A038E1">
        <w:rPr>
          <w:rFonts w:cs="Arial"/>
        </w:rPr>
        <w:t>each and every</w:t>
      </w:r>
      <w:proofErr w:type="gramEnd"/>
      <w:r w:rsidRPr="00A038E1">
        <w:rPr>
          <w:rFonts w:cs="Arial"/>
        </w:rPr>
        <w:t xml:space="preserve"> regulated procurement the individual service or commodity procurement strategy will include a sustainability test identifying how in conducting the procurement process it can:</w:t>
      </w:r>
    </w:p>
    <w:p w14:paraId="3D6ACFE1" w14:textId="77777777" w:rsidR="004B7640" w:rsidRPr="00A038E1" w:rsidRDefault="004B7640" w:rsidP="004B7640">
      <w:pPr>
        <w:pStyle w:val="ListParagraph"/>
        <w:numPr>
          <w:ilvl w:val="0"/>
          <w:numId w:val="18"/>
        </w:numPr>
        <w:spacing w:before="100" w:afterLines="0" w:after="360"/>
        <w:ind w:left="714" w:hanging="357"/>
        <w:contextualSpacing w:val="0"/>
        <w:rPr>
          <w:rFonts w:cs="Arial"/>
        </w:rPr>
      </w:pPr>
      <w:r w:rsidRPr="00A038E1">
        <w:rPr>
          <w:rFonts w:cs="Arial"/>
        </w:rPr>
        <w:t xml:space="preserve">Improve the economic, </w:t>
      </w:r>
      <w:proofErr w:type="gramStart"/>
      <w:r w:rsidRPr="00A038E1">
        <w:rPr>
          <w:rFonts w:cs="Arial"/>
        </w:rPr>
        <w:t>social</w:t>
      </w:r>
      <w:proofErr w:type="gramEnd"/>
      <w:r w:rsidRPr="00A038E1">
        <w:rPr>
          <w:rFonts w:cs="Arial"/>
        </w:rPr>
        <w:t xml:space="preserve"> and environmental well-being of the local and wider environment.</w:t>
      </w:r>
    </w:p>
    <w:p w14:paraId="45B5BD4F" w14:textId="77777777" w:rsidR="004B7640" w:rsidRPr="00A038E1" w:rsidRDefault="004B7640" w:rsidP="005B3ED0">
      <w:pPr>
        <w:pStyle w:val="ListParagraph"/>
        <w:numPr>
          <w:ilvl w:val="3"/>
          <w:numId w:val="18"/>
        </w:numPr>
        <w:spacing w:before="100" w:afterLines="0" w:after="360"/>
        <w:contextualSpacing w:val="0"/>
        <w:rPr>
          <w:rFonts w:cs="Arial"/>
        </w:rPr>
      </w:pPr>
      <w:r w:rsidRPr="00A038E1">
        <w:rPr>
          <w:rFonts w:cs="Arial"/>
        </w:rPr>
        <w:t>Facilitate the involvement of small and medium enterprises, third sector bodies and supported business in the process.</w:t>
      </w:r>
    </w:p>
    <w:p w14:paraId="682C5FFB" w14:textId="77777777" w:rsidR="004B7640" w:rsidRPr="00A038E1" w:rsidRDefault="004B7640" w:rsidP="005B3ED0">
      <w:pPr>
        <w:pStyle w:val="ListParagraph"/>
        <w:numPr>
          <w:ilvl w:val="3"/>
          <w:numId w:val="18"/>
        </w:numPr>
        <w:spacing w:before="100" w:afterLines="0" w:after="360"/>
        <w:contextualSpacing w:val="0"/>
        <w:rPr>
          <w:rFonts w:cs="Arial"/>
        </w:rPr>
      </w:pPr>
      <w:r w:rsidRPr="00A038E1">
        <w:rPr>
          <w:rFonts w:cs="Arial"/>
        </w:rPr>
        <w:t>Promote innovation.</w:t>
      </w:r>
    </w:p>
    <w:p w14:paraId="41D03D76" w14:textId="77777777" w:rsidR="004B7640" w:rsidRPr="00A038E1" w:rsidRDefault="004B7640" w:rsidP="000C38DA">
      <w:pPr>
        <w:spacing w:after="360"/>
        <w:rPr>
          <w:rFonts w:cs="Arial"/>
        </w:rPr>
      </w:pPr>
      <w:r w:rsidRPr="00A038E1">
        <w:rPr>
          <w:rFonts w:cs="Arial"/>
        </w:rPr>
        <w:lastRenderedPageBreak/>
        <w:t>Use of other sustainable procurement tools:</w:t>
      </w:r>
    </w:p>
    <w:p w14:paraId="69AD81C9" w14:textId="7DFDD896" w:rsidR="004B7640" w:rsidRPr="00A038E1" w:rsidRDefault="004B7640" w:rsidP="000C38DA">
      <w:pPr>
        <w:pStyle w:val="ListParagraph"/>
        <w:numPr>
          <w:ilvl w:val="0"/>
          <w:numId w:val="19"/>
        </w:numPr>
        <w:spacing w:afterLines="0" w:after="360"/>
        <w:contextualSpacing w:val="0"/>
        <w:rPr>
          <w:rFonts w:cs="Arial"/>
        </w:rPr>
      </w:pPr>
      <w:r w:rsidRPr="00A038E1">
        <w:rPr>
          <w:rFonts w:cs="Arial"/>
        </w:rPr>
        <w:t>The flexible framework assessment tool will be completed and reviewed annually to assess the Library</w:t>
      </w:r>
      <w:r w:rsidR="00FF487A">
        <w:rPr>
          <w:rFonts w:cs="Arial"/>
        </w:rPr>
        <w:t>'</w:t>
      </w:r>
      <w:r w:rsidRPr="00A038E1">
        <w:rPr>
          <w:rFonts w:cs="Arial"/>
        </w:rPr>
        <w:t xml:space="preserve">s current level of performance and actions required to embed good procurement practise to realise intended sustainable outcomes. </w:t>
      </w:r>
    </w:p>
    <w:p w14:paraId="2F8EF6DD" w14:textId="34189614" w:rsidR="004B7640" w:rsidRPr="00A038E1" w:rsidRDefault="004B7640" w:rsidP="000C38DA">
      <w:pPr>
        <w:pStyle w:val="ListParagraph"/>
        <w:numPr>
          <w:ilvl w:val="0"/>
          <w:numId w:val="19"/>
        </w:numPr>
        <w:spacing w:afterLines="0" w:after="360"/>
        <w:contextualSpacing w:val="0"/>
        <w:rPr>
          <w:rFonts w:cs="Arial"/>
        </w:rPr>
      </w:pPr>
      <w:r>
        <w:rPr>
          <w:rFonts w:cs="Arial"/>
        </w:rPr>
        <w:t xml:space="preserve">A reduced form of </w:t>
      </w:r>
      <w:r w:rsidR="006352BF">
        <w:rPr>
          <w:rFonts w:cs="Arial"/>
        </w:rPr>
        <w:t>t</w:t>
      </w:r>
      <w:r w:rsidRPr="00A038E1">
        <w:rPr>
          <w:rFonts w:cs="Arial"/>
        </w:rPr>
        <w:t>he Prioritisation Tool will be used to assist with early-stage strategic planning and provide a standard structured approach to the assessment of spend categories.</w:t>
      </w:r>
    </w:p>
    <w:p w14:paraId="4C95E4D4" w14:textId="37B3EB00" w:rsidR="000C38DA" w:rsidRPr="00A038E1" w:rsidRDefault="000C38DA" w:rsidP="000C38DA">
      <w:pPr>
        <w:spacing w:after="360"/>
        <w:rPr>
          <w:rFonts w:cs="Arial"/>
        </w:rPr>
      </w:pPr>
      <w:r w:rsidRPr="00A038E1">
        <w:rPr>
          <w:rFonts w:cs="Arial"/>
        </w:rPr>
        <w:t>In accordance with Procurement Reform (Scotland) Act 2014 and</w:t>
      </w:r>
      <w:r w:rsidR="00557FF7">
        <w:rPr>
          <w:rFonts w:cs="Arial"/>
        </w:rPr>
        <w:t xml:space="preserve"> the</w:t>
      </w:r>
      <w:r w:rsidRPr="00A038E1">
        <w:rPr>
          <w:rFonts w:cs="Arial"/>
        </w:rPr>
        <w:t xml:space="preserve"> </w:t>
      </w:r>
      <w:r>
        <w:rPr>
          <w:rFonts w:cs="Arial"/>
        </w:rPr>
        <w:t>Scot</w:t>
      </w:r>
      <w:r w:rsidR="00557FF7">
        <w:rPr>
          <w:rFonts w:cs="Arial"/>
        </w:rPr>
        <w:t>tish</w:t>
      </w:r>
      <w:r>
        <w:rPr>
          <w:rFonts w:cs="Arial"/>
        </w:rPr>
        <w:t xml:space="preserve"> Gov</w:t>
      </w:r>
      <w:r w:rsidR="00557FF7">
        <w:rPr>
          <w:rFonts w:cs="Arial"/>
        </w:rPr>
        <w:t>er</w:t>
      </w:r>
      <w:r w:rsidR="00A377B0">
        <w:rPr>
          <w:rFonts w:cs="Arial"/>
        </w:rPr>
        <w:t xml:space="preserve">nment's </w:t>
      </w:r>
      <w:r>
        <w:rPr>
          <w:rFonts w:cs="Arial"/>
        </w:rPr>
        <w:t xml:space="preserve">commitment to Community Wealth </w:t>
      </w:r>
      <w:r w:rsidR="001C137B">
        <w:rPr>
          <w:rFonts w:cs="Arial"/>
        </w:rPr>
        <w:t>Building,</w:t>
      </w:r>
      <w:r w:rsidR="001C137B" w:rsidRPr="00A038E1">
        <w:rPr>
          <w:rFonts w:cs="Arial"/>
        </w:rPr>
        <w:t xml:space="preserve"> where</w:t>
      </w:r>
      <w:r w:rsidRPr="00A038E1">
        <w:rPr>
          <w:rFonts w:cs="Arial"/>
        </w:rPr>
        <w:t xml:space="preserve"> it is proportionate and relevant, community benefit clauses, covering economic, social and environmental conditions, will be incorporated into the contract conditions for all contracts over £4</w:t>
      </w:r>
      <w:r w:rsidR="000F6BD8">
        <w:rPr>
          <w:rFonts w:cs="Arial"/>
        </w:rPr>
        <w:t xml:space="preserve"> million</w:t>
      </w:r>
      <w:r w:rsidRPr="00A038E1">
        <w:rPr>
          <w:rFonts w:cs="Arial"/>
        </w:rPr>
        <w:t xml:space="preserve"> (mandatory) and below £4</w:t>
      </w:r>
      <w:r w:rsidR="000F6BD8">
        <w:rPr>
          <w:rFonts w:cs="Arial"/>
        </w:rPr>
        <w:t xml:space="preserve"> million</w:t>
      </w:r>
      <w:r w:rsidRPr="00A038E1">
        <w:rPr>
          <w:rFonts w:cs="Arial"/>
        </w:rPr>
        <w:t xml:space="preserve"> </w:t>
      </w:r>
      <w:proofErr w:type="gramStart"/>
      <w:r w:rsidRPr="00A038E1">
        <w:rPr>
          <w:rFonts w:cs="Arial"/>
        </w:rPr>
        <w:t>where</w:t>
      </w:r>
      <w:proofErr w:type="gramEnd"/>
      <w:r w:rsidRPr="00A038E1">
        <w:rPr>
          <w:rFonts w:cs="Arial"/>
        </w:rPr>
        <w:t xml:space="preserve"> deemed appropriate.</w:t>
      </w:r>
    </w:p>
    <w:p w14:paraId="2E4569F0" w14:textId="77777777" w:rsidR="007C6B21" w:rsidRDefault="00E7761D" w:rsidP="00EE2888">
      <w:pPr>
        <w:spacing w:after="360"/>
        <w:rPr>
          <w:rFonts w:cs="Arial"/>
          <w:color w:val="333333"/>
          <w:szCs w:val="24"/>
          <w:shd w:val="clear" w:color="auto" w:fill="FFFFFF"/>
        </w:rPr>
      </w:pPr>
      <w:r w:rsidRPr="00EE2888">
        <w:rPr>
          <w:rFonts w:cs="Arial"/>
          <w:color w:val="333333"/>
          <w:szCs w:val="24"/>
          <w:shd w:val="clear" w:color="auto" w:fill="FFFFFF"/>
        </w:rPr>
        <w:t>Fair Work First is the Scottish Government's flagship policy for driving high quality and fair work, and workforce diversity across the labour market in Scotland by applying fair work criteria to grants, other funding and public contracts being awarded by and across the public sector, where it is relevant to do so. Through this approach the Scottish Government is supporting employers who adopt fair working practices</w:t>
      </w:r>
      <w:r w:rsidR="000343A3">
        <w:rPr>
          <w:rFonts w:cs="Arial"/>
          <w:color w:val="333333"/>
          <w:szCs w:val="24"/>
          <w:shd w:val="clear" w:color="auto" w:fill="FFFFFF"/>
        </w:rPr>
        <w:t>.</w:t>
      </w:r>
      <w:r w:rsidR="00A5056A">
        <w:rPr>
          <w:rFonts w:cs="Arial"/>
          <w:color w:val="333333"/>
          <w:szCs w:val="24"/>
          <w:shd w:val="clear" w:color="auto" w:fill="FFFFFF"/>
        </w:rPr>
        <w:t xml:space="preserve"> </w:t>
      </w:r>
    </w:p>
    <w:p w14:paraId="297C5ABE" w14:textId="4C8AA645" w:rsidR="00EE2888" w:rsidRDefault="007C6B21" w:rsidP="00EE2888">
      <w:pPr>
        <w:spacing w:after="360"/>
        <w:rPr>
          <w:rFonts w:cs="Arial"/>
          <w:color w:val="333333"/>
          <w:szCs w:val="24"/>
          <w:shd w:val="clear" w:color="auto" w:fill="FFFFFF"/>
        </w:rPr>
      </w:pPr>
      <w:r>
        <w:rPr>
          <w:rFonts w:cs="Arial"/>
          <w:color w:val="333333"/>
          <w:szCs w:val="24"/>
          <w:shd w:val="clear" w:color="auto" w:fill="FFFFFF"/>
        </w:rPr>
        <w:t xml:space="preserve">The Library supports the Scottish Government's </w:t>
      </w:r>
      <w:r w:rsidR="00CD4E52">
        <w:rPr>
          <w:rFonts w:cs="Arial"/>
          <w:color w:val="333333"/>
          <w:szCs w:val="24"/>
          <w:shd w:val="clear" w:color="auto" w:fill="FFFFFF"/>
        </w:rPr>
        <w:t xml:space="preserve">mandating </w:t>
      </w:r>
      <w:r w:rsidR="000E5F3B">
        <w:rPr>
          <w:rFonts w:cs="Arial"/>
          <w:color w:val="333333"/>
          <w:szCs w:val="24"/>
          <w:shd w:val="clear" w:color="auto" w:fill="FFFFFF"/>
        </w:rPr>
        <w:t xml:space="preserve">a </w:t>
      </w:r>
      <w:r w:rsidR="00CD4E52">
        <w:rPr>
          <w:rFonts w:cs="Arial"/>
          <w:color w:val="333333"/>
          <w:szCs w:val="24"/>
          <w:shd w:val="clear" w:color="auto" w:fill="FFFFFF"/>
        </w:rPr>
        <w:t xml:space="preserve">payment </w:t>
      </w:r>
      <w:r w:rsidR="00134D9A">
        <w:rPr>
          <w:rFonts w:cs="Arial"/>
          <w:color w:val="333333"/>
          <w:szCs w:val="24"/>
          <w:shd w:val="clear" w:color="auto" w:fill="FFFFFF"/>
        </w:rPr>
        <w:t>of a least the real Living Wage in its public procurement exercises where</w:t>
      </w:r>
      <w:r w:rsidR="00C00D42">
        <w:rPr>
          <w:rFonts w:cs="Arial"/>
          <w:color w:val="333333"/>
          <w:szCs w:val="24"/>
          <w:shd w:val="clear" w:color="auto" w:fill="FFFFFF"/>
        </w:rPr>
        <w:t xml:space="preserve">: </w:t>
      </w:r>
    </w:p>
    <w:p w14:paraId="05A505A8" w14:textId="77777777" w:rsidR="00C00D42" w:rsidRPr="00C00D42" w:rsidRDefault="00C00D42" w:rsidP="00C00D42">
      <w:pPr>
        <w:numPr>
          <w:ilvl w:val="0"/>
          <w:numId w:val="24"/>
        </w:numPr>
        <w:shd w:val="clear" w:color="auto" w:fill="FFFFFF"/>
        <w:spacing w:before="100" w:beforeAutospacing="1" w:afterLines="0" w:after="100" w:afterAutospacing="1"/>
        <w:rPr>
          <w:rFonts w:eastAsia="Times New Roman" w:cs="Arial"/>
          <w:color w:val="333333"/>
          <w:szCs w:val="24"/>
          <w:lang w:eastAsia="en-GB"/>
        </w:rPr>
      </w:pPr>
      <w:r w:rsidRPr="00C00D42">
        <w:rPr>
          <w:rFonts w:eastAsia="Times New Roman" w:cs="Arial"/>
          <w:color w:val="333333"/>
          <w:szCs w:val="24"/>
          <w:lang w:eastAsia="en-GB"/>
        </w:rPr>
        <w:t xml:space="preserve">Fair Work First practices, including payment of the real Living Wage, are relevant to how the contract will be </w:t>
      </w:r>
      <w:proofErr w:type="gramStart"/>
      <w:r w:rsidRPr="00C00D42">
        <w:rPr>
          <w:rFonts w:eastAsia="Times New Roman" w:cs="Arial"/>
          <w:color w:val="333333"/>
          <w:szCs w:val="24"/>
          <w:lang w:eastAsia="en-GB"/>
        </w:rPr>
        <w:t>delivered;</w:t>
      </w:r>
      <w:proofErr w:type="gramEnd"/>
    </w:p>
    <w:p w14:paraId="26D6C37E" w14:textId="77777777" w:rsidR="00C00D42" w:rsidRPr="00C00D42" w:rsidRDefault="00C00D42" w:rsidP="00C00D42">
      <w:pPr>
        <w:numPr>
          <w:ilvl w:val="0"/>
          <w:numId w:val="24"/>
        </w:numPr>
        <w:shd w:val="clear" w:color="auto" w:fill="FFFFFF"/>
        <w:spacing w:before="100" w:beforeAutospacing="1" w:afterLines="0" w:after="100" w:afterAutospacing="1"/>
        <w:rPr>
          <w:rFonts w:eastAsia="Times New Roman" w:cs="Arial"/>
          <w:color w:val="333333"/>
          <w:szCs w:val="24"/>
          <w:lang w:eastAsia="en-GB"/>
        </w:rPr>
      </w:pPr>
      <w:r w:rsidRPr="00C00D42">
        <w:rPr>
          <w:rFonts w:eastAsia="Times New Roman" w:cs="Arial"/>
          <w:color w:val="333333"/>
          <w:szCs w:val="24"/>
          <w:lang w:eastAsia="en-GB"/>
        </w:rPr>
        <w:t xml:space="preserve">it does not discriminate amongst potential </w:t>
      </w:r>
      <w:proofErr w:type="gramStart"/>
      <w:r w:rsidRPr="00C00D42">
        <w:rPr>
          <w:rFonts w:eastAsia="Times New Roman" w:cs="Arial"/>
          <w:color w:val="333333"/>
          <w:szCs w:val="24"/>
          <w:lang w:eastAsia="en-GB"/>
        </w:rPr>
        <w:t>bidders;</w:t>
      </w:r>
      <w:proofErr w:type="gramEnd"/>
    </w:p>
    <w:p w14:paraId="18167ADD" w14:textId="77777777" w:rsidR="00C00D42" w:rsidRPr="00C00D42" w:rsidRDefault="00C00D42" w:rsidP="00C00D42">
      <w:pPr>
        <w:numPr>
          <w:ilvl w:val="0"/>
          <w:numId w:val="24"/>
        </w:numPr>
        <w:shd w:val="clear" w:color="auto" w:fill="FFFFFF"/>
        <w:spacing w:before="100" w:beforeAutospacing="1" w:afterLines="0" w:after="100" w:afterAutospacing="1"/>
        <w:rPr>
          <w:rFonts w:eastAsia="Times New Roman" w:cs="Arial"/>
          <w:color w:val="333333"/>
          <w:szCs w:val="24"/>
          <w:lang w:eastAsia="en-GB"/>
        </w:rPr>
      </w:pPr>
      <w:r w:rsidRPr="00C00D42">
        <w:rPr>
          <w:rFonts w:eastAsia="Times New Roman" w:cs="Arial"/>
          <w:color w:val="333333"/>
          <w:szCs w:val="24"/>
          <w:lang w:eastAsia="en-GB"/>
        </w:rPr>
        <w:t>it is proportionate to do so; and,</w:t>
      </w:r>
    </w:p>
    <w:p w14:paraId="31742BB4" w14:textId="77777777" w:rsidR="00C00D42" w:rsidRPr="00C00D42" w:rsidRDefault="00C00D42" w:rsidP="00C00D42">
      <w:pPr>
        <w:numPr>
          <w:ilvl w:val="0"/>
          <w:numId w:val="24"/>
        </w:numPr>
        <w:shd w:val="clear" w:color="auto" w:fill="FFFFFF"/>
        <w:spacing w:before="100" w:beforeAutospacing="1" w:afterLines="0" w:after="360"/>
        <w:rPr>
          <w:rFonts w:eastAsia="Times New Roman" w:cs="Arial"/>
          <w:color w:val="333333"/>
          <w:szCs w:val="24"/>
          <w:lang w:eastAsia="en-GB"/>
        </w:rPr>
      </w:pPr>
      <w:r w:rsidRPr="00C00D42">
        <w:rPr>
          <w:rFonts w:eastAsia="Times New Roman" w:cs="Arial"/>
          <w:color w:val="333333"/>
          <w:szCs w:val="24"/>
          <w:lang w:eastAsia="en-GB"/>
        </w:rPr>
        <w:t>the contract will be delivered by workers based in the UK.</w:t>
      </w:r>
    </w:p>
    <w:p w14:paraId="0233309E" w14:textId="77777777" w:rsidR="00C00D42" w:rsidRPr="00EE2888" w:rsidRDefault="00C00D42" w:rsidP="00EE2888">
      <w:pPr>
        <w:spacing w:after="360"/>
        <w:rPr>
          <w:rFonts w:cs="Arial"/>
          <w:color w:val="333333"/>
          <w:szCs w:val="24"/>
          <w:shd w:val="clear" w:color="auto" w:fill="FFFFFF"/>
        </w:rPr>
      </w:pPr>
    </w:p>
    <w:p w14:paraId="3EA27A7D" w14:textId="77777777" w:rsidR="000C38DA" w:rsidRPr="00A038E1" w:rsidRDefault="000C38DA" w:rsidP="000C38DA">
      <w:pPr>
        <w:spacing w:after="360"/>
        <w:rPr>
          <w:rFonts w:cs="Arial"/>
        </w:rPr>
      </w:pPr>
      <w:r w:rsidRPr="00A038E1">
        <w:rPr>
          <w:rFonts w:cs="Arial"/>
        </w:rPr>
        <w:lastRenderedPageBreak/>
        <w:t>As a minimum in its regulated procurement processes the Library will promote compliance from contractors and sub-contractors with:</w:t>
      </w:r>
    </w:p>
    <w:p w14:paraId="7A41E35A" w14:textId="77777777" w:rsidR="000C38DA" w:rsidRPr="00A038E1" w:rsidRDefault="000C38DA" w:rsidP="005B3ED0">
      <w:pPr>
        <w:pStyle w:val="ListParagraph"/>
        <w:numPr>
          <w:ilvl w:val="0"/>
          <w:numId w:val="20"/>
        </w:numPr>
        <w:spacing w:before="100" w:afterLines="0" w:after="360"/>
        <w:ind w:left="357" w:hanging="357"/>
        <w:contextualSpacing w:val="0"/>
        <w:rPr>
          <w:rFonts w:cs="Arial"/>
        </w:rPr>
      </w:pPr>
      <w:r w:rsidRPr="00A038E1">
        <w:rPr>
          <w:rFonts w:cs="Arial"/>
        </w:rPr>
        <w:t>The Health &amp; Safety at Work Act 1974 and any provisions under that Act.</w:t>
      </w:r>
    </w:p>
    <w:p w14:paraId="4CBBDAA5" w14:textId="77777777" w:rsidR="000C38DA" w:rsidRPr="00A038E1" w:rsidRDefault="000C38DA" w:rsidP="005B3ED0">
      <w:pPr>
        <w:pStyle w:val="ListParagraph"/>
        <w:numPr>
          <w:ilvl w:val="0"/>
          <w:numId w:val="20"/>
        </w:numPr>
        <w:spacing w:before="100" w:afterLines="0" w:after="360"/>
        <w:ind w:left="357" w:hanging="357"/>
        <w:contextualSpacing w:val="0"/>
        <w:rPr>
          <w:rFonts w:cs="Arial"/>
        </w:rPr>
      </w:pPr>
      <w:r w:rsidRPr="00A038E1">
        <w:rPr>
          <w:rFonts w:cs="Arial"/>
        </w:rPr>
        <w:t>The procurement of fairly and ethically traded goods and services.</w:t>
      </w:r>
    </w:p>
    <w:p w14:paraId="5DBFDBF5" w14:textId="77777777" w:rsidR="000C38DA" w:rsidRPr="00A038E1" w:rsidRDefault="000C38DA" w:rsidP="005B3ED0">
      <w:pPr>
        <w:spacing w:after="360"/>
        <w:rPr>
          <w:rFonts w:cs="Arial"/>
        </w:rPr>
      </w:pPr>
      <w:r w:rsidRPr="00A038E1">
        <w:rPr>
          <w:rFonts w:cs="Arial"/>
        </w:rPr>
        <w:t>And if the procurement involves the provision of food the Library will state how the regulated procurement will:</w:t>
      </w:r>
    </w:p>
    <w:p w14:paraId="2466350D" w14:textId="77777777" w:rsidR="000C38DA" w:rsidRPr="00A038E1" w:rsidRDefault="000C38DA" w:rsidP="005B3ED0">
      <w:pPr>
        <w:pStyle w:val="ListParagraph"/>
        <w:numPr>
          <w:ilvl w:val="0"/>
          <w:numId w:val="21"/>
        </w:numPr>
        <w:spacing w:before="100" w:afterLines="0" w:after="360" w:line="276" w:lineRule="auto"/>
        <w:ind w:left="294" w:hanging="357"/>
        <w:contextualSpacing w:val="0"/>
        <w:rPr>
          <w:rFonts w:cs="Arial"/>
        </w:rPr>
      </w:pPr>
      <w:r w:rsidRPr="00A038E1">
        <w:rPr>
          <w:rFonts w:cs="Arial"/>
        </w:rPr>
        <w:t xml:space="preserve">Improve the health, </w:t>
      </w:r>
      <w:proofErr w:type="gramStart"/>
      <w:r w:rsidRPr="00A038E1">
        <w:rPr>
          <w:rFonts w:cs="Arial"/>
        </w:rPr>
        <w:t>wellbeing</w:t>
      </w:r>
      <w:proofErr w:type="gramEnd"/>
      <w:r w:rsidRPr="00A038E1">
        <w:rPr>
          <w:rFonts w:cs="Arial"/>
        </w:rPr>
        <w:t xml:space="preserve"> and education of the local communities.</w:t>
      </w:r>
    </w:p>
    <w:p w14:paraId="000DEE8C" w14:textId="77777777" w:rsidR="000C38DA" w:rsidRPr="00A038E1" w:rsidRDefault="000C38DA" w:rsidP="005B3ED0">
      <w:pPr>
        <w:pStyle w:val="ListParagraph"/>
        <w:numPr>
          <w:ilvl w:val="0"/>
          <w:numId w:val="21"/>
        </w:numPr>
        <w:spacing w:before="100" w:afterLines="0" w:after="360"/>
        <w:ind w:left="294" w:hanging="357"/>
        <w:contextualSpacing w:val="0"/>
        <w:rPr>
          <w:rFonts w:cs="Arial"/>
        </w:rPr>
      </w:pPr>
      <w:r w:rsidRPr="00A038E1">
        <w:rPr>
          <w:rFonts w:cs="Arial"/>
        </w:rPr>
        <w:t>Promote the highest standards of animal welfare.</w:t>
      </w:r>
    </w:p>
    <w:p w14:paraId="31851487" w14:textId="77777777" w:rsidR="000C38DA" w:rsidRPr="00A038E1" w:rsidRDefault="000C38DA" w:rsidP="000C38DA">
      <w:pPr>
        <w:spacing w:after="360"/>
        <w:rPr>
          <w:rFonts w:cs="Arial"/>
        </w:rPr>
      </w:pPr>
      <w:r w:rsidRPr="00A038E1">
        <w:rPr>
          <w:rFonts w:cs="Arial"/>
        </w:rPr>
        <w:t>Where there is a presumed impact on the community e.g. construction related contracts, the Library will consult and engage with those likely to be affected by the procurement activity.</w:t>
      </w:r>
    </w:p>
    <w:p w14:paraId="2904EBA3" w14:textId="4C6444AF" w:rsidR="00F95EF8" w:rsidRDefault="00F95EF8" w:rsidP="00F95EF8">
      <w:pPr>
        <w:pStyle w:val="Heading3"/>
        <w:spacing w:before="0" w:after="360"/>
      </w:pPr>
      <w:bookmarkStart w:id="20" w:name="_Toc170116846"/>
      <w:r>
        <w:t>Capability</w:t>
      </w:r>
      <w:bookmarkEnd w:id="20"/>
    </w:p>
    <w:p w14:paraId="325780E7" w14:textId="77777777" w:rsidR="00F95EF8" w:rsidRPr="00A038E1" w:rsidRDefault="00F95EF8" w:rsidP="00F95EF8">
      <w:pPr>
        <w:spacing w:after="360"/>
        <w:rPr>
          <w:rFonts w:cs="Arial"/>
        </w:rPr>
      </w:pPr>
      <w:r w:rsidRPr="00A038E1">
        <w:rPr>
          <w:rFonts w:cs="Arial"/>
        </w:rPr>
        <w:t>The Library understands the importance of having the necessary procurement and commercial skills that may require refreshing to meet developing business needs.</w:t>
      </w:r>
    </w:p>
    <w:p w14:paraId="270F019C" w14:textId="685E7855" w:rsidR="00F95EF8" w:rsidRPr="00A038E1" w:rsidRDefault="00F95EF8" w:rsidP="00F95EF8">
      <w:pPr>
        <w:spacing w:after="360"/>
        <w:rPr>
          <w:rFonts w:cs="Arial"/>
        </w:rPr>
      </w:pPr>
      <w:r w:rsidRPr="00A038E1">
        <w:rPr>
          <w:rFonts w:cs="Arial"/>
        </w:rPr>
        <w:t xml:space="preserve">To that end the Library will ensure funding is available within the staff training budget for procurement and commercial training, as required, to ensure that the organisation has the procurement skills necessary to deliver the Library's planned (next </w:t>
      </w:r>
      <w:r w:rsidR="0040613C">
        <w:rPr>
          <w:rFonts w:cs="Arial"/>
        </w:rPr>
        <w:t>two</w:t>
      </w:r>
      <w:r w:rsidR="00D2436D">
        <w:rPr>
          <w:rFonts w:cs="Arial"/>
        </w:rPr>
        <w:t xml:space="preserve"> to </w:t>
      </w:r>
      <w:r w:rsidR="0040613C">
        <w:rPr>
          <w:rFonts w:cs="Arial"/>
        </w:rPr>
        <w:t>three</w:t>
      </w:r>
      <w:r w:rsidRPr="00A038E1">
        <w:rPr>
          <w:rFonts w:cs="Arial"/>
        </w:rPr>
        <w:t xml:space="preserve"> years) and longer-term procurement activity.</w:t>
      </w:r>
    </w:p>
    <w:p w14:paraId="4FD5AE89" w14:textId="79033F1C" w:rsidR="00F95EF8" w:rsidRPr="00A038E1" w:rsidRDefault="00F95EF8" w:rsidP="00F95EF8">
      <w:pPr>
        <w:spacing w:after="360"/>
        <w:rPr>
          <w:rFonts w:cs="Arial"/>
        </w:rPr>
      </w:pPr>
      <w:r w:rsidRPr="00A038E1">
        <w:rPr>
          <w:rFonts w:cs="Arial"/>
        </w:rPr>
        <w:t xml:space="preserve">To ensure the training and competencies are steered in the right direction there will be annual training for all </w:t>
      </w:r>
      <w:r w:rsidR="00687C04">
        <w:rPr>
          <w:rFonts w:cs="Arial"/>
        </w:rPr>
        <w:t>d</w:t>
      </w:r>
      <w:r>
        <w:rPr>
          <w:rFonts w:cs="Arial"/>
        </w:rPr>
        <w:t xml:space="preserve">elegated </w:t>
      </w:r>
      <w:r w:rsidR="00687C04">
        <w:rPr>
          <w:rFonts w:cs="Arial"/>
        </w:rPr>
        <w:t>p</w:t>
      </w:r>
      <w:r>
        <w:rPr>
          <w:rFonts w:cs="Arial"/>
        </w:rPr>
        <w:t xml:space="preserve">rocuring </w:t>
      </w:r>
      <w:r w:rsidR="00687C04">
        <w:rPr>
          <w:rFonts w:cs="Arial"/>
        </w:rPr>
        <w:t>o</w:t>
      </w:r>
      <w:r>
        <w:rPr>
          <w:rFonts w:cs="Arial"/>
        </w:rPr>
        <w:t xml:space="preserve">fficers </w:t>
      </w:r>
      <w:r w:rsidRPr="00A038E1">
        <w:rPr>
          <w:rFonts w:cs="Arial"/>
        </w:rPr>
        <w:t xml:space="preserve">and only on successful completion will the annual </w:t>
      </w:r>
      <w:r w:rsidR="00687C04">
        <w:rPr>
          <w:rFonts w:cs="Arial"/>
        </w:rPr>
        <w:t>d</w:t>
      </w:r>
      <w:r>
        <w:rPr>
          <w:rFonts w:cs="Arial"/>
        </w:rPr>
        <w:t xml:space="preserve">elegated </w:t>
      </w:r>
      <w:r w:rsidR="00687C04">
        <w:rPr>
          <w:rFonts w:cs="Arial"/>
        </w:rPr>
        <w:t>p</w:t>
      </w:r>
      <w:r>
        <w:rPr>
          <w:rFonts w:cs="Arial"/>
        </w:rPr>
        <w:t xml:space="preserve">urchasing </w:t>
      </w:r>
      <w:r w:rsidR="00754236">
        <w:rPr>
          <w:rFonts w:cs="Arial"/>
        </w:rPr>
        <w:t>a</w:t>
      </w:r>
      <w:r>
        <w:rPr>
          <w:rFonts w:cs="Arial"/>
        </w:rPr>
        <w:t>uthority letter</w:t>
      </w:r>
      <w:r w:rsidRPr="00A038E1">
        <w:rPr>
          <w:rFonts w:cs="Arial"/>
        </w:rPr>
        <w:t xml:space="preserve"> be issued. </w:t>
      </w:r>
    </w:p>
    <w:p w14:paraId="2F10D463" w14:textId="3F6E58AC" w:rsidR="00F95EF8" w:rsidRPr="00A038E1" w:rsidRDefault="00F95EF8" w:rsidP="00F95EF8">
      <w:pPr>
        <w:spacing w:after="360"/>
        <w:rPr>
          <w:rFonts w:cs="Arial"/>
        </w:rPr>
      </w:pPr>
      <w:r w:rsidRPr="00A038E1">
        <w:rPr>
          <w:rFonts w:cs="Arial"/>
        </w:rPr>
        <w:t>A procurement training framework has been produced by 'Procurement'</w:t>
      </w:r>
      <w:r w:rsidRPr="00A038E1">
        <w:rPr>
          <w:rFonts w:cs="Arial"/>
          <w:i/>
        </w:rPr>
        <w:t xml:space="preserve"> </w:t>
      </w:r>
      <w:r w:rsidRPr="00A038E1">
        <w:rPr>
          <w:rFonts w:cs="Arial"/>
        </w:rPr>
        <w:t>and endorsed by HR that recognises the varying procurement skills and competencies and supported levels of training.</w:t>
      </w:r>
      <w:r w:rsidR="009B0B69">
        <w:rPr>
          <w:rFonts w:cs="Arial"/>
        </w:rPr>
        <w:t xml:space="preserve"> </w:t>
      </w:r>
    </w:p>
    <w:p w14:paraId="18A788C9" w14:textId="77777777" w:rsidR="00F95EF8" w:rsidRPr="00A038E1" w:rsidRDefault="00F95EF8" w:rsidP="00F95EF8">
      <w:pPr>
        <w:spacing w:after="360"/>
        <w:rPr>
          <w:rFonts w:cs="Arial"/>
        </w:rPr>
      </w:pPr>
      <w:r w:rsidRPr="00A038E1">
        <w:rPr>
          <w:rFonts w:cs="Arial"/>
        </w:rPr>
        <w:lastRenderedPageBreak/>
        <w:t>Where there is a skills gap or a resourcing issue the Library will continue to consider utilising, on a project-by-project basis, the service offered by Scottish Government's Procurement Shared Services Team.</w:t>
      </w:r>
    </w:p>
    <w:p w14:paraId="5750515E" w14:textId="7F80FCD3" w:rsidR="00F95EF8" w:rsidRPr="00A038E1" w:rsidRDefault="00F95EF8" w:rsidP="00F95EF8">
      <w:pPr>
        <w:spacing w:after="360"/>
        <w:rPr>
          <w:rFonts w:cs="Arial"/>
        </w:rPr>
      </w:pPr>
      <w:r w:rsidRPr="00A038E1">
        <w:rPr>
          <w:rFonts w:cs="Arial"/>
        </w:rPr>
        <w:t xml:space="preserve">Professional staff within the Estates team will lead on all works </w:t>
      </w:r>
      <w:r w:rsidR="00A4725C">
        <w:rPr>
          <w:rFonts w:cs="Arial"/>
        </w:rPr>
        <w:t>and</w:t>
      </w:r>
      <w:r w:rsidRPr="00A038E1">
        <w:rPr>
          <w:rFonts w:cs="Arial"/>
        </w:rPr>
        <w:t xml:space="preserve"> construction related procurement activity. Professional staff within the Digital </w:t>
      </w:r>
      <w:r>
        <w:rPr>
          <w:rFonts w:cs="Arial"/>
        </w:rPr>
        <w:t>and Service Transformation T</w:t>
      </w:r>
      <w:r w:rsidRPr="00A038E1">
        <w:rPr>
          <w:rFonts w:cs="Arial"/>
        </w:rPr>
        <w:t xml:space="preserve">eam will have an input in all </w:t>
      </w:r>
      <w:r w:rsidR="00A97CCC">
        <w:rPr>
          <w:rFonts w:cs="Arial"/>
        </w:rPr>
        <w:t>Information Technology (</w:t>
      </w:r>
      <w:r w:rsidR="0014152E" w:rsidRPr="00A038E1">
        <w:rPr>
          <w:rFonts w:cs="Arial"/>
        </w:rPr>
        <w:t>I</w:t>
      </w:r>
      <w:r w:rsidR="0014152E">
        <w:rPr>
          <w:rFonts w:cs="Arial"/>
        </w:rPr>
        <w:t>T</w:t>
      </w:r>
      <w:r w:rsidR="00A97CCC">
        <w:rPr>
          <w:rFonts w:cs="Arial"/>
        </w:rPr>
        <w:t xml:space="preserve">) </w:t>
      </w:r>
      <w:r w:rsidRPr="00A038E1">
        <w:rPr>
          <w:rFonts w:cs="Arial"/>
        </w:rPr>
        <w:t>related procurements.</w:t>
      </w:r>
    </w:p>
    <w:p w14:paraId="3FD2FF3C" w14:textId="0FB78570" w:rsidR="00F95EF8" w:rsidRPr="00A038E1" w:rsidRDefault="00F95EF8" w:rsidP="00F95EF8">
      <w:pPr>
        <w:spacing w:after="360"/>
        <w:rPr>
          <w:rFonts w:cs="Arial"/>
        </w:rPr>
      </w:pPr>
      <w:r w:rsidRPr="00A038E1">
        <w:rPr>
          <w:rFonts w:cs="Arial"/>
        </w:rPr>
        <w:t>It is recognised that any non-complaint procurement may result in legal challenges</w:t>
      </w:r>
      <w:r w:rsidR="005F0601">
        <w:rPr>
          <w:rFonts w:cs="Arial"/>
        </w:rPr>
        <w:t>.</w:t>
      </w:r>
      <w:r w:rsidRPr="00A038E1">
        <w:rPr>
          <w:rFonts w:cs="Arial"/>
        </w:rPr>
        <w:t xml:space="preserve"> </w:t>
      </w:r>
      <w:r w:rsidR="00773678">
        <w:rPr>
          <w:rFonts w:cs="Arial"/>
        </w:rPr>
        <w:t>H</w:t>
      </w:r>
      <w:r w:rsidR="00773678" w:rsidRPr="00A038E1">
        <w:rPr>
          <w:rFonts w:cs="Arial"/>
        </w:rPr>
        <w:t>owever</w:t>
      </w:r>
      <w:r w:rsidRPr="00A038E1">
        <w:rPr>
          <w:rFonts w:cs="Arial"/>
        </w:rPr>
        <w:t>, the risk is heightened when it is a regulated procurement. As a means of mitigating these risks the Library will insure the necessary internal or external resource is provided for all regulated procurements and ensure that professional external expertise is sought should there be a requirement.</w:t>
      </w:r>
    </w:p>
    <w:p w14:paraId="00F56016" w14:textId="663A9DA6" w:rsidR="005B3ED0" w:rsidRPr="000933BA" w:rsidRDefault="005B3ED0" w:rsidP="005B3ED0">
      <w:pPr>
        <w:pStyle w:val="Heading2"/>
        <w:spacing w:after="360"/>
      </w:pPr>
      <w:bookmarkStart w:id="21" w:name="_Toc170116847"/>
      <w:r>
        <w:t xml:space="preserve">Spend </w:t>
      </w:r>
      <w:r w:rsidR="001A0C1A">
        <w:t xml:space="preserve">and </w:t>
      </w:r>
      <w:r>
        <w:t>Finance</w:t>
      </w:r>
      <w:bookmarkEnd w:id="21"/>
    </w:p>
    <w:p w14:paraId="4C9CF597" w14:textId="77777777" w:rsidR="005B3ED0" w:rsidRPr="00A038E1" w:rsidRDefault="005B3ED0" w:rsidP="005B3ED0">
      <w:pPr>
        <w:spacing w:after="360"/>
        <w:rPr>
          <w:rFonts w:cs="Arial"/>
        </w:rPr>
      </w:pPr>
      <w:r w:rsidRPr="00A038E1">
        <w:rPr>
          <w:rFonts w:cs="Arial"/>
          <w:iCs/>
        </w:rPr>
        <w:t xml:space="preserve">'Procurement' </w:t>
      </w:r>
      <w:r w:rsidRPr="00A038E1">
        <w:rPr>
          <w:rFonts w:cs="Arial"/>
        </w:rPr>
        <w:t>will continue to make available quarterly for Library use procurement management information including but not exclusive to:</w:t>
      </w:r>
    </w:p>
    <w:p w14:paraId="10B11168" w14:textId="62193A8C" w:rsidR="005B3ED0" w:rsidRPr="00A038E1" w:rsidRDefault="005B3ED0" w:rsidP="005B3ED0">
      <w:pPr>
        <w:pStyle w:val="ListParagraph"/>
        <w:numPr>
          <w:ilvl w:val="0"/>
          <w:numId w:val="22"/>
        </w:numPr>
        <w:spacing w:afterLines="0" w:after="360"/>
        <w:contextualSpacing w:val="0"/>
        <w:rPr>
          <w:rFonts w:cs="Arial"/>
        </w:rPr>
      </w:pPr>
      <w:r w:rsidRPr="00A038E1">
        <w:rPr>
          <w:rFonts w:cs="Arial"/>
        </w:rPr>
        <w:t>Contracted v</w:t>
      </w:r>
      <w:r w:rsidR="001A0C1A">
        <w:rPr>
          <w:rFonts w:cs="Arial"/>
        </w:rPr>
        <w:t>s.</w:t>
      </w:r>
      <w:r w:rsidRPr="00A038E1">
        <w:rPr>
          <w:rFonts w:cs="Arial"/>
        </w:rPr>
        <w:t xml:space="preserve"> Non-Contracted spend</w:t>
      </w:r>
      <w:r w:rsidR="003A4135">
        <w:rPr>
          <w:rFonts w:cs="Arial"/>
        </w:rPr>
        <w:t>.</w:t>
      </w:r>
    </w:p>
    <w:p w14:paraId="73F56E03" w14:textId="71BEE83B" w:rsidR="005B3ED0" w:rsidRPr="00A038E1" w:rsidRDefault="005B3ED0" w:rsidP="005B3ED0">
      <w:pPr>
        <w:pStyle w:val="ListParagraph"/>
        <w:numPr>
          <w:ilvl w:val="0"/>
          <w:numId w:val="22"/>
        </w:numPr>
        <w:spacing w:afterLines="0" w:after="360"/>
        <w:contextualSpacing w:val="0"/>
        <w:rPr>
          <w:rFonts w:cs="Arial"/>
        </w:rPr>
      </w:pPr>
      <w:r w:rsidRPr="00A038E1">
        <w:rPr>
          <w:rFonts w:cs="Arial"/>
        </w:rPr>
        <w:t xml:space="preserve">Top </w:t>
      </w:r>
      <w:r w:rsidR="001A0C1A">
        <w:rPr>
          <w:rFonts w:cs="Arial"/>
        </w:rPr>
        <w:t>five</w:t>
      </w:r>
      <w:r w:rsidRPr="00A038E1">
        <w:rPr>
          <w:rFonts w:cs="Arial"/>
        </w:rPr>
        <w:t xml:space="preserve"> spending by supplier (value of spend)</w:t>
      </w:r>
    </w:p>
    <w:p w14:paraId="298A61E0" w14:textId="43E01419" w:rsidR="005B3ED0" w:rsidRPr="00A038E1" w:rsidRDefault="005B3ED0" w:rsidP="005B3ED0">
      <w:pPr>
        <w:pStyle w:val="ListParagraph"/>
        <w:numPr>
          <w:ilvl w:val="0"/>
          <w:numId w:val="22"/>
        </w:numPr>
        <w:spacing w:afterLines="0" w:after="360"/>
        <w:contextualSpacing w:val="0"/>
        <w:rPr>
          <w:rFonts w:cs="Arial"/>
        </w:rPr>
      </w:pPr>
      <w:r w:rsidRPr="00A038E1">
        <w:rPr>
          <w:rFonts w:cs="Arial"/>
        </w:rPr>
        <w:t xml:space="preserve">Top </w:t>
      </w:r>
      <w:r w:rsidR="001A0C1A">
        <w:rPr>
          <w:rFonts w:cs="Arial"/>
        </w:rPr>
        <w:t>five</w:t>
      </w:r>
      <w:r w:rsidRPr="00A038E1">
        <w:rPr>
          <w:rFonts w:cs="Arial"/>
        </w:rPr>
        <w:t xml:space="preserve"> spending by commodity (value of spend)</w:t>
      </w:r>
    </w:p>
    <w:p w14:paraId="3CD9A0B9" w14:textId="066FD5E2" w:rsidR="005B3ED0" w:rsidRPr="00A038E1" w:rsidRDefault="005B3ED0" w:rsidP="005B3ED0">
      <w:pPr>
        <w:pStyle w:val="ListParagraph"/>
        <w:numPr>
          <w:ilvl w:val="0"/>
          <w:numId w:val="22"/>
        </w:numPr>
        <w:spacing w:afterLines="0" w:after="360"/>
        <w:contextualSpacing w:val="0"/>
        <w:rPr>
          <w:rFonts w:cs="Arial"/>
        </w:rPr>
      </w:pPr>
      <w:r w:rsidRPr="00A038E1">
        <w:rPr>
          <w:rFonts w:cs="Arial"/>
        </w:rPr>
        <w:t xml:space="preserve">Top </w:t>
      </w:r>
      <w:r w:rsidR="001A0C1A">
        <w:rPr>
          <w:rFonts w:cs="Arial"/>
        </w:rPr>
        <w:t>five</w:t>
      </w:r>
      <w:r w:rsidRPr="00A038E1">
        <w:rPr>
          <w:rFonts w:cs="Arial"/>
        </w:rPr>
        <w:t xml:space="preserve"> spending by cost centre (value of spend)</w:t>
      </w:r>
    </w:p>
    <w:p w14:paraId="03F7A497" w14:textId="2846F2A3" w:rsidR="005B3ED0" w:rsidRPr="00A038E1" w:rsidRDefault="005B3ED0" w:rsidP="005B3ED0">
      <w:pPr>
        <w:pStyle w:val="ListParagraph"/>
        <w:numPr>
          <w:ilvl w:val="0"/>
          <w:numId w:val="22"/>
        </w:numPr>
        <w:spacing w:afterLines="0" w:after="360"/>
        <w:contextualSpacing w:val="0"/>
        <w:rPr>
          <w:rFonts w:cs="Arial"/>
        </w:rPr>
      </w:pPr>
      <w:r w:rsidRPr="00A038E1">
        <w:rPr>
          <w:rFonts w:cs="Arial"/>
        </w:rPr>
        <w:t>How much we've spent with SMEs as a direct award</w:t>
      </w:r>
      <w:r w:rsidR="003220ED">
        <w:rPr>
          <w:rFonts w:cs="Arial"/>
        </w:rPr>
        <w:t>.</w:t>
      </w:r>
    </w:p>
    <w:p w14:paraId="4E71DDFE" w14:textId="4091A8D8" w:rsidR="005B3ED0" w:rsidRPr="00A038E1" w:rsidRDefault="005B3ED0" w:rsidP="005B3ED0">
      <w:pPr>
        <w:pStyle w:val="ListParagraph"/>
        <w:numPr>
          <w:ilvl w:val="0"/>
          <w:numId w:val="22"/>
        </w:numPr>
        <w:spacing w:afterLines="0" w:after="360"/>
        <w:contextualSpacing w:val="0"/>
        <w:rPr>
          <w:rFonts w:cs="Arial"/>
        </w:rPr>
      </w:pPr>
      <w:r w:rsidRPr="00A038E1">
        <w:rPr>
          <w:rFonts w:cs="Arial"/>
        </w:rPr>
        <w:t xml:space="preserve">How much has been spent with </w:t>
      </w:r>
      <w:r w:rsidR="00773678">
        <w:rPr>
          <w:rFonts w:cs="Arial"/>
        </w:rPr>
        <w:t>S</w:t>
      </w:r>
      <w:r w:rsidRPr="00A038E1">
        <w:rPr>
          <w:rFonts w:cs="Arial"/>
        </w:rPr>
        <w:t xml:space="preserve">upported </w:t>
      </w:r>
      <w:r w:rsidRPr="00A038E1" w:rsidDel="001A0C1A">
        <w:rPr>
          <w:rFonts w:cs="Arial"/>
        </w:rPr>
        <w:t>B</w:t>
      </w:r>
      <w:r w:rsidRPr="00A038E1">
        <w:rPr>
          <w:rFonts w:cs="Arial"/>
        </w:rPr>
        <w:t>usinesses either as a direct award or collaboratively</w:t>
      </w:r>
      <w:r w:rsidR="003220ED">
        <w:rPr>
          <w:rFonts w:cs="Arial"/>
        </w:rPr>
        <w:t>.</w:t>
      </w:r>
    </w:p>
    <w:p w14:paraId="015E2867" w14:textId="542C1AFC" w:rsidR="005B3ED0" w:rsidRPr="00A038E1" w:rsidRDefault="005B3ED0" w:rsidP="005B3ED0">
      <w:pPr>
        <w:pStyle w:val="ListParagraph"/>
        <w:numPr>
          <w:ilvl w:val="0"/>
          <w:numId w:val="22"/>
        </w:numPr>
        <w:spacing w:afterLines="0" w:after="360"/>
        <w:contextualSpacing w:val="0"/>
        <w:rPr>
          <w:rFonts w:cs="Arial"/>
        </w:rPr>
      </w:pPr>
      <w:r w:rsidRPr="00A038E1">
        <w:rPr>
          <w:rFonts w:cs="Arial"/>
        </w:rPr>
        <w:lastRenderedPageBreak/>
        <w:t xml:space="preserve">Value of engagement with SMEs through the supply chain for appropriate </w:t>
      </w:r>
      <w:r w:rsidRPr="00A038E1" w:rsidDel="001A0C1A">
        <w:rPr>
          <w:rFonts w:cs="Arial"/>
        </w:rPr>
        <w:t>R</w:t>
      </w:r>
      <w:r w:rsidRPr="00A038E1">
        <w:rPr>
          <w:rFonts w:cs="Arial"/>
        </w:rPr>
        <w:t>egulated contracts</w:t>
      </w:r>
      <w:r w:rsidR="003220ED">
        <w:rPr>
          <w:rFonts w:cs="Arial"/>
        </w:rPr>
        <w:t>.</w:t>
      </w:r>
    </w:p>
    <w:p w14:paraId="1440A3B4" w14:textId="0DE39EE0" w:rsidR="005B3ED0" w:rsidRPr="00A038E1" w:rsidRDefault="005B3ED0" w:rsidP="005B3ED0">
      <w:pPr>
        <w:pStyle w:val="ListParagraph"/>
        <w:numPr>
          <w:ilvl w:val="0"/>
          <w:numId w:val="22"/>
        </w:numPr>
        <w:spacing w:afterLines="0" w:after="360"/>
        <w:contextualSpacing w:val="0"/>
        <w:rPr>
          <w:rFonts w:cs="Arial"/>
        </w:rPr>
      </w:pPr>
      <w:r w:rsidRPr="00A038E1">
        <w:rPr>
          <w:rFonts w:cs="Arial"/>
        </w:rPr>
        <w:t>Number of and value of contracts awarded to SMEs following a tendered procurement</w:t>
      </w:r>
      <w:r w:rsidR="003220ED">
        <w:rPr>
          <w:rFonts w:cs="Arial"/>
        </w:rPr>
        <w:t>.</w:t>
      </w:r>
    </w:p>
    <w:p w14:paraId="0ED4F148" w14:textId="77777777" w:rsidR="005B3ED0" w:rsidRPr="00A038E1" w:rsidRDefault="005B3ED0" w:rsidP="005B3ED0">
      <w:pPr>
        <w:pStyle w:val="ListParagraph"/>
        <w:numPr>
          <w:ilvl w:val="0"/>
          <w:numId w:val="22"/>
        </w:numPr>
        <w:spacing w:afterLines="0" w:after="360"/>
        <w:contextualSpacing w:val="0"/>
        <w:rPr>
          <w:rFonts w:cs="Arial"/>
        </w:rPr>
      </w:pPr>
      <w:r w:rsidRPr="00A038E1">
        <w:rPr>
          <w:rFonts w:cs="Arial"/>
        </w:rPr>
        <w:t>Cash savings through adopted frameworks.</w:t>
      </w:r>
    </w:p>
    <w:p w14:paraId="1CCDA2C2" w14:textId="609E709F" w:rsidR="005B3ED0" w:rsidRPr="00A038E1" w:rsidRDefault="005B3ED0" w:rsidP="005B3ED0">
      <w:pPr>
        <w:spacing w:after="360"/>
        <w:rPr>
          <w:rFonts w:cs="Arial"/>
        </w:rPr>
      </w:pPr>
      <w:r w:rsidRPr="00A038E1">
        <w:rPr>
          <w:rFonts w:cs="Arial"/>
        </w:rPr>
        <w:t>We aim to continue to target and report a contracted spend of 9</w:t>
      </w:r>
      <w:r w:rsidR="00E714A2">
        <w:rPr>
          <w:rFonts w:cs="Arial"/>
        </w:rPr>
        <w:t>8</w:t>
      </w:r>
      <w:r w:rsidRPr="00A038E1">
        <w:rPr>
          <w:rFonts w:cs="Arial"/>
        </w:rPr>
        <w:t>% or above.</w:t>
      </w:r>
    </w:p>
    <w:p w14:paraId="7B49571D" w14:textId="77777777" w:rsidR="005B3ED0" w:rsidRPr="00A038E1" w:rsidRDefault="005B3ED0" w:rsidP="005B3ED0">
      <w:pPr>
        <w:spacing w:after="360"/>
        <w:rPr>
          <w:rFonts w:cs="Arial"/>
        </w:rPr>
      </w:pPr>
      <w:r w:rsidRPr="00A038E1">
        <w:rPr>
          <w:rFonts w:cs="Arial"/>
        </w:rPr>
        <w:t>With regards to payment of contractors, on receipt of a valid invoice or similar claim, the Library will, as far as reasonably practicable, pay contractors no later than 30 days after presentation of said invoice or similar claim.</w:t>
      </w:r>
    </w:p>
    <w:p w14:paraId="71CD74AF" w14:textId="77777777" w:rsidR="005B3ED0" w:rsidRPr="00A038E1" w:rsidRDefault="005B3ED0" w:rsidP="005B3ED0">
      <w:pPr>
        <w:spacing w:after="360"/>
        <w:rPr>
          <w:rFonts w:cs="Arial"/>
        </w:rPr>
      </w:pPr>
      <w:r w:rsidRPr="00A038E1">
        <w:rPr>
          <w:rFonts w:cs="Arial"/>
        </w:rPr>
        <w:t xml:space="preserve">Library contract conditions require contractors who sub-contract all or part of the contract to treat their sub-contractors and sub sub-contractors in a similar manner. The condition also allows for subcontractors to approach the Library direct if the main contractor fails in his duty. </w:t>
      </w:r>
    </w:p>
    <w:p w14:paraId="5DA6C621" w14:textId="77777777" w:rsidR="005B3ED0" w:rsidRPr="00A038E1" w:rsidRDefault="005B3ED0" w:rsidP="005B3ED0">
      <w:pPr>
        <w:spacing w:after="360"/>
        <w:rPr>
          <w:rFonts w:cs="Arial"/>
        </w:rPr>
      </w:pPr>
      <w:r w:rsidRPr="00A038E1">
        <w:rPr>
          <w:rFonts w:cs="Arial"/>
        </w:rPr>
        <w:t>During the period of this plan Contract Managers of Library key contracts may consider monitoring prompt payment of sub-contractors by carrying out spot checks.</w:t>
      </w:r>
    </w:p>
    <w:p w14:paraId="76F60AE9" w14:textId="62D3CEE5" w:rsidR="005B3ED0" w:rsidRPr="00A038E1" w:rsidRDefault="005B3ED0" w:rsidP="005B3ED0">
      <w:pPr>
        <w:spacing w:after="360"/>
        <w:rPr>
          <w:rFonts w:cs="Arial"/>
        </w:rPr>
      </w:pPr>
      <w:r w:rsidRPr="00A038E1">
        <w:rPr>
          <w:rFonts w:cs="Arial"/>
        </w:rPr>
        <w:t>All future building projects contracts with a total contract value of £2</w:t>
      </w:r>
      <w:r w:rsidR="00D60A5E">
        <w:rPr>
          <w:rFonts w:cs="Arial"/>
        </w:rPr>
        <w:t xml:space="preserve"> million</w:t>
      </w:r>
      <w:r w:rsidRPr="00A038E1">
        <w:rPr>
          <w:rFonts w:cs="Arial"/>
        </w:rPr>
        <w:t xml:space="preserve"> or above will include the requirement for a Project Bank Account (PBA).</w:t>
      </w:r>
    </w:p>
    <w:p w14:paraId="76B7CEF8" w14:textId="0484C569" w:rsidR="00B11B29" w:rsidRPr="000933BA" w:rsidRDefault="00B11B29" w:rsidP="00B11B29">
      <w:pPr>
        <w:pStyle w:val="Heading2"/>
        <w:spacing w:after="360"/>
      </w:pPr>
      <w:bookmarkStart w:id="22" w:name="_Toc170116848"/>
      <w:r>
        <w:t>Exceptions</w:t>
      </w:r>
      <w:bookmarkEnd w:id="22"/>
    </w:p>
    <w:p w14:paraId="3AE1B714" w14:textId="232CA1B0" w:rsidR="00B11B29" w:rsidRPr="00A038E1" w:rsidRDefault="00B11B29" w:rsidP="00B11B29">
      <w:pPr>
        <w:spacing w:after="360"/>
        <w:rPr>
          <w:rFonts w:cs="Arial"/>
        </w:rPr>
      </w:pPr>
      <w:r w:rsidRPr="00A038E1">
        <w:rPr>
          <w:rFonts w:cs="Arial"/>
        </w:rPr>
        <w:t xml:space="preserve">In line with the Library's </w:t>
      </w:r>
      <w:r w:rsidR="00BB349E">
        <w:rPr>
          <w:rFonts w:cs="Arial"/>
        </w:rPr>
        <w:t>P</w:t>
      </w:r>
      <w:r w:rsidRPr="00A038E1">
        <w:rPr>
          <w:rFonts w:cs="Arial"/>
        </w:rPr>
        <w:t xml:space="preserve">rocurement </w:t>
      </w:r>
      <w:r w:rsidR="00BB349E">
        <w:rPr>
          <w:rFonts w:cs="Arial"/>
        </w:rPr>
        <w:t>Po</w:t>
      </w:r>
      <w:r w:rsidRPr="00A038E1">
        <w:rPr>
          <w:rFonts w:cs="Arial"/>
        </w:rPr>
        <w:t>licy and due to their unique nature, the acquisition of manuscripts, rare collection items and donations of any kind (excluding financial donations) cannot be purchased via standard procurement routes and are therefore outside the remit of this plan.</w:t>
      </w:r>
    </w:p>
    <w:p w14:paraId="41C4937F" w14:textId="72B507C5" w:rsidR="00B11B29" w:rsidRDefault="00B11B29" w:rsidP="00B11B29">
      <w:pPr>
        <w:pStyle w:val="Heading2"/>
        <w:spacing w:after="360"/>
      </w:pPr>
      <w:bookmarkStart w:id="23" w:name="_Toc170116849"/>
      <w:r>
        <w:lastRenderedPageBreak/>
        <w:t xml:space="preserve">Implementation, monitoring, reviewing and reporting on </w:t>
      </w:r>
      <w:proofErr w:type="gramStart"/>
      <w:r>
        <w:t>strategies</w:t>
      </w:r>
      <w:bookmarkEnd w:id="23"/>
      <w:proofErr w:type="gramEnd"/>
    </w:p>
    <w:p w14:paraId="01F61CAB" w14:textId="319FFEE4" w:rsidR="00B11B29" w:rsidRPr="00A038E1" w:rsidRDefault="00B11B29" w:rsidP="00B11B29">
      <w:pPr>
        <w:spacing w:after="360"/>
        <w:rPr>
          <w:rFonts w:cs="Arial"/>
        </w:rPr>
      </w:pPr>
      <w:r w:rsidRPr="00A038E1">
        <w:rPr>
          <w:rFonts w:cs="Arial"/>
        </w:rPr>
        <w:t>The Procurement Reform (Scotland) Act 2014 (the Act) requires the Library to review its procurement plan annually</w:t>
      </w:r>
      <w:r w:rsidR="00AA5CAD">
        <w:rPr>
          <w:rFonts w:cs="Arial"/>
        </w:rPr>
        <w:t>.</w:t>
      </w:r>
      <w:r w:rsidRPr="00A038E1">
        <w:rPr>
          <w:rFonts w:cs="Arial"/>
        </w:rPr>
        <w:t xml:space="preserve"> </w:t>
      </w:r>
      <w:r w:rsidR="00AA5CAD">
        <w:rPr>
          <w:rFonts w:cs="Arial"/>
        </w:rPr>
        <w:t>T</w:t>
      </w:r>
      <w:r w:rsidRPr="00A038E1">
        <w:rPr>
          <w:rFonts w:cs="Arial"/>
        </w:rPr>
        <w:t xml:space="preserve">his task will reside with </w:t>
      </w:r>
      <w:r w:rsidR="002D4FC9">
        <w:rPr>
          <w:rFonts w:cs="Arial"/>
        </w:rPr>
        <w:t>'</w:t>
      </w:r>
      <w:r w:rsidRPr="00A038E1">
        <w:rPr>
          <w:rFonts w:cs="Arial"/>
        </w:rPr>
        <w:t>Procurement</w:t>
      </w:r>
      <w:r w:rsidR="002D4FC9">
        <w:rPr>
          <w:rFonts w:cs="Arial"/>
        </w:rPr>
        <w:t>'</w:t>
      </w:r>
      <w:r w:rsidRPr="00A038E1">
        <w:rPr>
          <w:rFonts w:cs="Arial"/>
        </w:rPr>
        <w:t xml:space="preserve">. </w:t>
      </w:r>
    </w:p>
    <w:p w14:paraId="5839FF86" w14:textId="77777777" w:rsidR="00B11B29" w:rsidRPr="00A038E1" w:rsidRDefault="00B11B29" w:rsidP="00B11B29">
      <w:pPr>
        <w:spacing w:after="360"/>
        <w:rPr>
          <w:rFonts w:cs="Arial"/>
        </w:rPr>
      </w:pPr>
      <w:r w:rsidRPr="00A038E1">
        <w:rPr>
          <w:rFonts w:cs="Arial"/>
        </w:rPr>
        <w:t>In accordance with the Act the Library will (if required) prepare and publish an annual procurement report covering its regulated procurement activities, as a minimum, as reasonably practicable after the end of the financial year. The format of the annual report to align with Section 18(2) of the Act.</w:t>
      </w:r>
    </w:p>
    <w:p w14:paraId="312B52E2" w14:textId="707F9BA0" w:rsidR="00B11B29" w:rsidRDefault="00B11B29" w:rsidP="00B11B29">
      <w:pPr>
        <w:pStyle w:val="Heading2"/>
        <w:spacing w:after="360"/>
      </w:pPr>
      <w:bookmarkStart w:id="24" w:name="_Toc170116850"/>
      <w:r>
        <w:t xml:space="preserve">Contact </w:t>
      </w:r>
      <w:proofErr w:type="gramStart"/>
      <w:r>
        <w:t>details</w:t>
      </w:r>
      <w:bookmarkEnd w:id="24"/>
      <w:proofErr w:type="gramEnd"/>
    </w:p>
    <w:p w14:paraId="4DE401F3" w14:textId="77777777" w:rsidR="00B11B29" w:rsidRPr="00A038E1" w:rsidRDefault="00B11B29" w:rsidP="00B11B29">
      <w:pPr>
        <w:spacing w:after="360" w:line="276" w:lineRule="auto"/>
        <w:rPr>
          <w:rFonts w:cs="Arial"/>
        </w:rPr>
      </w:pPr>
      <w:r w:rsidRPr="00A038E1">
        <w:rPr>
          <w:rFonts w:cs="Arial"/>
        </w:rPr>
        <w:t>Any questions with regards to this document should be direct in the first instance to:</w:t>
      </w:r>
    </w:p>
    <w:p w14:paraId="34CF1645" w14:textId="29EFE43E" w:rsidR="00B11B29" w:rsidRPr="00A038E1" w:rsidRDefault="00B11B29" w:rsidP="00D83B02">
      <w:pPr>
        <w:spacing w:afterLines="50" w:after="120"/>
        <w:rPr>
          <w:rFonts w:cs="Arial"/>
        </w:rPr>
      </w:pPr>
      <w:r>
        <w:rPr>
          <w:rFonts w:cs="Arial"/>
        </w:rPr>
        <w:t>Chief Operating Officer</w:t>
      </w:r>
    </w:p>
    <w:p w14:paraId="07961AFA" w14:textId="77777777" w:rsidR="00B11B29" w:rsidRPr="00A038E1" w:rsidRDefault="00B11B29" w:rsidP="00D83B02">
      <w:pPr>
        <w:spacing w:afterLines="50" w:after="120"/>
        <w:rPr>
          <w:rFonts w:cs="Arial"/>
        </w:rPr>
      </w:pPr>
      <w:r w:rsidRPr="00A038E1">
        <w:rPr>
          <w:rFonts w:cs="Arial"/>
        </w:rPr>
        <w:t>National Library of Scotland</w:t>
      </w:r>
    </w:p>
    <w:p w14:paraId="2495AE5B" w14:textId="77777777" w:rsidR="00B11B29" w:rsidRPr="00A038E1" w:rsidRDefault="00B11B29" w:rsidP="00D83B02">
      <w:pPr>
        <w:spacing w:afterLines="50" w:after="120"/>
        <w:rPr>
          <w:rFonts w:cs="Arial"/>
        </w:rPr>
      </w:pPr>
      <w:r w:rsidRPr="00A038E1">
        <w:rPr>
          <w:rFonts w:cs="Arial"/>
        </w:rPr>
        <w:t>George IV Bridge</w:t>
      </w:r>
    </w:p>
    <w:p w14:paraId="1D4EA21E" w14:textId="77777777" w:rsidR="00B11B29" w:rsidRPr="00A038E1" w:rsidRDefault="00B11B29" w:rsidP="00D83B02">
      <w:pPr>
        <w:spacing w:afterLines="50" w:after="120"/>
        <w:rPr>
          <w:rFonts w:cs="Arial"/>
        </w:rPr>
      </w:pPr>
      <w:r w:rsidRPr="00A038E1">
        <w:rPr>
          <w:rFonts w:cs="Arial"/>
        </w:rPr>
        <w:t>Edinburgh</w:t>
      </w:r>
    </w:p>
    <w:p w14:paraId="6CAE1031" w14:textId="77777777" w:rsidR="00B11B29" w:rsidRPr="00A038E1" w:rsidRDefault="00B11B29" w:rsidP="00D83B02">
      <w:pPr>
        <w:spacing w:afterLines="0" w:after="0"/>
        <w:rPr>
          <w:rFonts w:cs="Arial"/>
        </w:rPr>
      </w:pPr>
      <w:r w:rsidRPr="00A038E1">
        <w:rPr>
          <w:rFonts w:cs="Arial"/>
        </w:rPr>
        <w:t xml:space="preserve">EH1 1EW </w:t>
      </w:r>
    </w:p>
    <w:p w14:paraId="7339E278" w14:textId="28B133FE" w:rsidR="00CA7EC0" w:rsidRPr="00A038E1" w:rsidRDefault="00CA7EC0" w:rsidP="00D83B02">
      <w:pPr>
        <w:spacing w:after="360"/>
        <w:rPr>
          <w:rFonts w:cs="Arial"/>
        </w:rPr>
      </w:pPr>
      <w:hyperlink r:id="rId9" w:history="1">
        <w:r w:rsidRPr="00E17168">
          <w:rPr>
            <w:rStyle w:val="Hyperlink"/>
            <w:rFonts w:cs="Arial"/>
          </w:rPr>
          <w:t>enquiries@nls.uk</w:t>
        </w:r>
      </w:hyperlink>
    </w:p>
    <w:p w14:paraId="16637123" w14:textId="75BFE5B5" w:rsidR="003613D1" w:rsidRDefault="00DD6693" w:rsidP="36C7B31F">
      <w:pPr>
        <w:pStyle w:val="Heading2"/>
        <w:spacing w:before="0" w:after="360"/>
        <w:rPr>
          <w:shd w:val="clear" w:color="auto" w:fill="FFFFFF"/>
        </w:rPr>
      </w:pPr>
      <w:bookmarkStart w:id="25" w:name="_Toc27507821"/>
      <w:bookmarkStart w:id="26" w:name="_Toc1276644409"/>
      <w:bookmarkStart w:id="27" w:name="_Toc110486769"/>
      <w:bookmarkStart w:id="28" w:name="_Toc170116851"/>
      <w:r w:rsidRPr="00C87063">
        <w:rPr>
          <w:shd w:val="clear" w:color="auto" w:fill="FFFFFF"/>
        </w:rPr>
        <w:t xml:space="preserve">Related </w:t>
      </w:r>
      <w:r w:rsidR="0047219A" w:rsidRPr="00625263">
        <w:t>p</w:t>
      </w:r>
      <w:r w:rsidRPr="00625263">
        <w:t>olicies</w:t>
      </w:r>
      <w:r w:rsidRPr="00C87063">
        <w:rPr>
          <w:shd w:val="clear" w:color="auto" w:fill="FFFFFF"/>
        </w:rPr>
        <w:t xml:space="preserve"> a</w:t>
      </w:r>
      <w:r w:rsidR="00C87063">
        <w:rPr>
          <w:shd w:val="clear" w:color="auto" w:fill="FFFFFF"/>
        </w:rPr>
        <w:t>nd procedures</w:t>
      </w:r>
      <w:bookmarkEnd w:id="25"/>
      <w:bookmarkEnd w:id="26"/>
      <w:bookmarkEnd w:id="27"/>
      <w:bookmarkEnd w:id="28"/>
    </w:p>
    <w:bookmarkStart w:id="29" w:name="_Hlk80273987"/>
    <w:p w14:paraId="54804504" w14:textId="60372544" w:rsidR="00B11B29" w:rsidRPr="00A038E1" w:rsidRDefault="00B11B29" w:rsidP="00B11B29">
      <w:pPr>
        <w:spacing w:after="360"/>
        <w:rPr>
          <w:rFonts w:cs="Arial"/>
        </w:rPr>
      </w:pPr>
      <w:r w:rsidRPr="00A038E1">
        <w:rPr>
          <w:rFonts w:cs="Arial"/>
          <w:iCs/>
        </w:rPr>
        <w:fldChar w:fldCharType="begin"/>
      </w:r>
      <w:r w:rsidR="000F5008">
        <w:rPr>
          <w:rFonts w:cs="Arial"/>
          <w:iCs/>
        </w:rPr>
        <w:instrText>HYPERLINK "https://www.nls.uk/about-us/what-we-do/our-strategy/"</w:instrText>
      </w:r>
      <w:r w:rsidRPr="00A038E1">
        <w:rPr>
          <w:rFonts w:cs="Arial"/>
          <w:iCs/>
        </w:rPr>
      </w:r>
      <w:r w:rsidRPr="00A038E1">
        <w:rPr>
          <w:rFonts w:cs="Arial"/>
          <w:iCs/>
        </w:rPr>
        <w:fldChar w:fldCharType="separate"/>
      </w:r>
      <w:r w:rsidRPr="00A038E1">
        <w:rPr>
          <w:rStyle w:val="Hyperlink"/>
          <w:rFonts w:cs="Arial"/>
          <w:iCs/>
        </w:rPr>
        <w:t>'Reaching People: Library Strategy 2020-2025'</w:t>
      </w:r>
      <w:r w:rsidRPr="00A038E1">
        <w:rPr>
          <w:rFonts w:cs="Arial"/>
          <w:iCs/>
        </w:rPr>
        <w:fldChar w:fldCharType="end"/>
      </w:r>
      <w:r w:rsidRPr="00A038E1">
        <w:rPr>
          <w:rFonts w:cs="Arial"/>
          <w:i/>
        </w:rPr>
        <w:t xml:space="preserve"> </w:t>
      </w:r>
      <w:r w:rsidRPr="00A038E1">
        <w:rPr>
          <w:rFonts w:cs="Arial"/>
        </w:rPr>
        <w:t xml:space="preserve">can be found on the Library website. </w:t>
      </w:r>
    </w:p>
    <w:p w14:paraId="78B9149E" w14:textId="497A3A99" w:rsidR="00B11B29" w:rsidRDefault="00B11B29" w:rsidP="00B11B29">
      <w:pPr>
        <w:spacing w:after="360"/>
        <w:rPr>
          <w:rFonts w:cs="Arial"/>
        </w:rPr>
      </w:pPr>
      <w:r w:rsidRPr="00A038E1">
        <w:rPr>
          <w:rFonts w:cs="Arial"/>
        </w:rPr>
        <w:t xml:space="preserve">Information on the Library's procurement procedures and updates can be found on the </w:t>
      </w:r>
      <w:hyperlink r:id="rId10" w:history="1">
        <w:r w:rsidRPr="00A038E1">
          <w:rPr>
            <w:rStyle w:val="Hyperlink"/>
            <w:rFonts w:cs="Arial"/>
          </w:rPr>
          <w:t>procurement page</w:t>
        </w:r>
      </w:hyperlink>
      <w:r>
        <w:rPr>
          <w:rFonts w:cs="Arial"/>
        </w:rPr>
        <w:t xml:space="preserve"> of the Library main website</w:t>
      </w:r>
      <w:r w:rsidR="001D5ED9">
        <w:rPr>
          <w:rFonts w:cs="Arial"/>
        </w:rPr>
        <w:t>.</w:t>
      </w:r>
    </w:p>
    <w:bookmarkEnd w:id="29"/>
    <w:p w14:paraId="5D5A5D93" w14:textId="5572FEB6" w:rsidR="00821FB2" w:rsidRPr="00DE32B0" w:rsidRDefault="00DE32B0" w:rsidP="36C7B31F">
      <w:pPr>
        <w:spacing w:after="360"/>
        <w:rPr>
          <w:rStyle w:val="Hyperlink"/>
          <w:rFonts w:eastAsia="Times New Roman"/>
        </w:rPr>
      </w:pPr>
      <w:r>
        <w:rPr>
          <w:rFonts w:eastAsia="Times New Roman"/>
        </w:rPr>
        <w:fldChar w:fldCharType="begin"/>
      </w:r>
      <w:r>
        <w:rPr>
          <w:rFonts w:eastAsia="Times New Roman"/>
        </w:rPr>
        <w:instrText>HYPERLINK "https://www.nls.uk/media/o2tbnfdo/sustainability-policy-2024.docx"</w:instrText>
      </w:r>
      <w:r>
        <w:rPr>
          <w:rFonts w:eastAsia="Times New Roman"/>
        </w:rPr>
      </w:r>
      <w:r>
        <w:rPr>
          <w:rFonts w:eastAsia="Times New Roman"/>
        </w:rPr>
        <w:fldChar w:fldCharType="separate"/>
      </w:r>
      <w:r w:rsidR="00821FB2" w:rsidRPr="00DE32B0">
        <w:rPr>
          <w:rStyle w:val="Hyperlink"/>
          <w:rFonts w:eastAsia="Times New Roman"/>
        </w:rPr>
        <w:t>Sustainability Policy 2024</w:t>
      </w:r>
    </w:p>
    <w:p w14:paraId="5E0EBE28" w14:textId="646F031D" w:rsidR="004E62AC" w:rsidRDefault="00DE32B0" w:rsidP="36C7B31F">
      <w:pPr>
        <w:spacing w:after="360"/>
        <w:rPr>
          <w:rFonts w:eastAsiaTheme="majorEastAsia" w:cs="Arial"/>
          <w:b/>
          <w:bCs/>
          <w:sz w:val="28"/>
          <w:szCs w:val="28"/>
        </w:rPr>
      </w:pPr>
      <w:r>
        <w:rPr>
          <w:rFonts w:eastAsia="Times New Roman"/>
        </w:rPr>
        <w:fldChar w:fldCharType="end"/>
      </w:r>
      <w:r w:rsidR="004E62AC">
        <w:br w:type="page"/>
      </w:r>
    </w:p>
    <w:p w14:paraId="09111334" w14:textId="279B7AF2" w:rsidR="00EF7928" w:rsidRDefault="00432DDD" w:rsidP="36C7B31F">
      <w:pPr>
        <w:pStyle w:val="Heading2"/>
        <w:numPr>
          <w:ilvl w:val="0"/>
          <w:numId w:val="0"/>
        </w:numPr>
        <w:spacing w:before="0" w:after="360"/>
      </w:pPr>
      <w:bookmarkStart w:id="30" w:name="_Toc2051864346"/>
      <w:bookmarkStart w:id="31" w:name="_Toc1722501665"/>
      <w:bookmarkStart w:id="32" w:name="_Toc110486770"/>
      <w:bookmarkStart w:id="33" w:name="_Toc170116852"/>
      <w:r>
        <w:lastRenderedPageBreak/>
        <w:t>Appendix 1</w:t>
      </w:r>
      <w:bookmarkEnd w:id="30"/>
      <w:bookmarkEnd w:id="31"/>
      <w:bookmarkEnd w:id="32"/>
      <w:r w:rsidR="00B11B29">
        <w:t xml:space="preserve"> – Glossary of terms</w:t>
      </w:r>
      <w:bookmarkEnd w:id="33"/>
    </w:p>
    <w:tbl>
      <w:tblPr>
        <w:tblStyle w:val="TableGrid"/>
        <w:tblW w:w="0" w:type="auto"/>
        <w:tblLook w:val="04A0" w:firstRow="1" w:lastRow="0" w:firstColumn="1" w:lastColumn="0" w:noHBand="0" w:noVBand="1"/>
      </w:tblPr>
      <w:tblGrid>
        <w:gridCol w:w="1806"/>
        <w:gridCol w:w="7210"/>
      </w:tblGrid>
      <w:tr w:rsidR="00B11B29" w:rsidRPr="00A038E1" w14:paraId="15DA9945" w14:textId="77777777" w:rsidTr="00B11B29">
        <w:tc>
          <w:tcPr>
            <w:tcW w:w="1806" w:type="dxa"/>
          </w:tcPr>
          <w:p w14:paraId="6BF9444E" w14:textId="77777777" w:rsidR="00B11B29" w:rsidRPr="00A038E1" w:rsidRDefault="00B11B29">
            <w:pPr>
              <w:spacing w:after="360" w:line="276" w:lineRule="auto"/>
              <w:rPr>
                <w:rFonts w:cs="Arial"/>
              </w:rPr>
            </w:pPr>
          </w:p>
          <w:p w14:paraId="54BE53FA" w14:textId="77777777" w:rsidR="00B11B29" w:rsidRPr="00A038E1" w:rsidRDefault="00B11B29">
            <w:pPr>
              <w:spacing w:after="360" w:line="276" w:lineRule="auto"/>
              <w:rPr>
                <w:rFonts w:cs="Arial"/>
              </w:rPr>
            </w:pPr>
            <w:r w:rsidRPr="00A038E1">
              <w:rPr>
                <w:rFonts w:cs="Arial"/>
              </w:rPr>
              <w:t>APUC</w:t>
            </w:r>
          </w:p>
        </w:tc>
        <w:tc>
          <w:tcPr>
            <w:tcW w:w="7210" w:type="dxa"/>
          </w:tcPr>
          <w:p w14:paraId="24A8908A" w14:textId="77777777" w:rsidR="00B11B29" w:rsidRPr="00A038E1" w:rsidRDefault="00B11B29" w:rsidP="001C137B">
            <w:pPr>
              <w:spacing w:after="360"/>
              <w:rPr>
                <w:rFonts w:cs="Arial"/>
              </w:rPr>
            </w:pPr>
          </w:p>
          <w:p w14:paraId="71BDB521" w14:textId="77777777" w:rsidR="00B11B29" w:rsidRPr="00A038E1" w:rsidRDefault="00B11B29" w:rsidP="001C137B">
            <w:pPr>
              <w:spacing w:after="360"/>
              <w:rPr>
                <w:rFonts w:cs="Arial"/>
              </w:rPr>
            </w:pPr>
            <w:r w:rsidRPr="00A038E1">
              <w:rPr>
                <w:rFonts w:cs="Arial"/>
              </w:rPr>
              <w:t>Advanced Procurement for Universities and Colleges (procurement centre expertise for Scotland's universities and colleges)</w:t>
            </w:r>
          </w:p>
        </w:tc>
      </w:tr>
      <w:tr w:rsidR="00B11B29" w:rsidRPr="00A038E1" w14:paraId="1B920830" w14:textId="77777777" w:rsidTr="00B11B29">
        <w:tc>
          <w:tcPr>
            <w:tcW w:w="1806" w:type="dxa"/>
          </w:tcPr>
          <w:p w14:paraId="7E369D4A" w14:textId="77777777" w:rsidR="00B11B29" w:rsidRPr="00A038E1" w:rsidRDefault="00B11B29">
            <w:pPr>
              <w:spacing w:after="360" w:line="276" w:lineRule="auto"/>
              <w:rPr>
                <w:rFonts w:cs="Arial"/>
              </w:rPr>
            </w:pPr>
          </w:p>
          <w:p w14:paraId="103D2D0D" w14:textId="77777777" w:rsidR="00B11B29" w:rsidRPr="00A038E1" w:rsidRDefault="00B11B29">
            <w:pPr>
              <w:spacing w:after="360" w:line="276" w:lineRule="auto"/>
              <w:rPr>
                <w:rFonts w:cs="Arial"/>
              </w:rPr>
            </w:pPr>
          </w:p>
          <w:p w14:paraId="15F6074B" w14:textId="77777777" w:rsidR="00B11B29" w:rsidRPr="00A038E1" w:rsidRDefault="00B11B29">
            <w:pPr>
              <w:spacing w:after="360" w:line="276" w:lineRule="auto"/>
              <w:rPr>
                <w:rFonts w:cs="Arial"/>
              </w:rPr>
            </w:pPr>
            <w:r w:rsidRPr="00A038E1">
              <w:rPr>
                <w:rFonts w:cs="Arial"/>
              </w:rPr>
              <w:t>SPD(s)</w:t>
            </w:r>
          </w:p>
        </w:tc>
        <w:tc>
          <w:tcPr>
            <w:tcW w:w="7210" w:type="dxa"/>
          </w:tcPr>
          <w:p w14:paraId="1A828B3C" w14:textId="77777777" w:rsidR="00B11B29" w:rsidRPr="00A038E1" w:rsidRDefault="00B11B29" w:rsidP="001C137B">
            <w:pPr>
              <w:shd w:val="clear" w:color="auto" w:fill="FFFFFF"/>
              <w:spacing w:after="360"/>
              <w:rPr>
                <w:rFonts w:cs="Arial"/>
              </w:rPr>
            </w:pPr>
          </w:p>
          <w:p w14:paraId="1D243F1C" w14:textId="5ACE1141" w:rsidR="00B11B29" w:rsidRPr="00A038E1" w:rsidRDefault="00B11B29" w:rsidP="001C137B">
            <w:pPr>
              <w:shd w:val="clear" w:color="auto" w:fill="FFFFFF"/>
              <w:spacing w:after="360"/>
              <w:rPr>
                <w:rFonts w:cs="Arial"/>
                <w:color w:val="000000"/>
              </w:rPr>
            </w:pPr>
            <w:r w:rsidRPr="00A038E1">
              <w:rPr>
                <w:rFonts w:cs="Arial"/>
                <w:color w:val="000000"/>
              </w:rPr>
              <w:t>The Single Procurement Document (SPD(s)) is a standard form for use, which replaces pre-qualification questionnaires, and should make the process of bidding for a public contract easier. Its purpose is to remove some of the barriers to participation in public procurement, especially for Small and Medium Enterprises (SMEs). </w:t>
            </w:r>
          </w:p>
          <w:p w14:paraId="1295E580" w14:textId="21F7E8C1" w:rsidR="00B11B29" w:rsidRPr="00A038E1" w:rsidRDefault="00B11B29" w:rsidP="001C137B">
            <w:pPr>
              <w:shd w:val="clear" w:color="auto" w:fill="FFFFFF"/>
              <w:spacing w:after="360"/>
              <w:rPr>
                <w:rFonts w:cs="Arial"/>
              </w:rPr>
            </w:pPr>
            <w:r w:rsidRPr="00A038E1">
              <w:rPr>
                <w:rFonts w:cs="Arial"/>
                <w:color w:val="000000"/>
              </w:rPr>
              <w:t>All Scottish public bodies must issue and accept the SPD (S)form for all procurement exercises above the GPA threshold.</w:t>
            </w:r>
            <w:r w:rsidR="009B0B69">
              <w:rPr>
                <w:rFonts w:cs="Arial"/>
                <w:color w:val="000000"/>
              </w:rPr>
              <w:t xml:space="preserve"> </w:t>
            </w:r>
          </w:p>
        </w:tc>
      </w:tr>
      <w:tr w:rsidR="00B11B29" w:rsidRPr="00A038E1" w14:paraId="21271ADC" w14:textId="77777777" w:rsidTr="00B11B29">
        <w:tc>
          <w:tcPr>
            <w:tcW w:w="1806" w:type="dxa"/>
          </w:tcPr>
          <w:p w14:paraId="4C50E51D" w14:textId="77777777" w:rsidR="00B11B29" w:rsidRPr="00A038E1" w:rsidRDefault="00B11B29">
            <w:pPr>
              <w:spacing w:after="360" w:line="276" w:lineRule="auto"/>
              <w:rPr>
                <w:rFonts w:cs="Arial"/>
              </w:rPr>
            </w:pPr>
          </w:p>
          <w:p w14:paraId="567274E8" w14:textId="77777777" w:rsidR="00B11B29" w:rsidRPr="00A038E1" w:rsidRDefault="00B11B29">
            <w:pPr>
              <w:spacing w:after="360" w:line="276" w:lineRule="auto"/>
              <w:rPr>
                <w:rFonts w:cs="Arial"/>
              </w:rPr>
            </w:pPr>
            <w:r w:rsidRPr="00A038E1">
              <w:rPr>
                <w:rFonts w:cs="Arial"/>
              </w:rPr>
              <w:t>Key contracts</w:t>
            </w:r>
          </w:p>
          <w:p w14:paraId="7FFBCD48" w14:textId="77777777" w:rsidR="00B11B29" w:rsidRPr="00A038E1" w:rsidRDefault="00B11B29">
            <w:pPr>
              <w:spacing w:after="360" w:line="276" w:lineRule="auto"/>
              <w:rPr>
                <w:rFonts w:cs="Arial"/>
              </w:rPr>
            </w:pPr>
          </w:p>
        </w:tc>
        <w:tc>
          <w:tcPr>
            <w:tcW w:w="7210" w:type="dxa"/>
          </w:tcPr>
          <w:p w14:paraId="79FF3DA9" w14:textId="77777777" w:rsidR="00B11B29" w:rsidRPr="00A038E1" w:rsidRDefault="00B11B29" w:rsidP="001C7728">
            <w:pPr>
              <w:spacing w:after="360"/>
              <w:rPr>
                <w:rFonts w:cs="Arial"/>
              </w:rPr>
            </w:pPr>
          </w:p>
          <w:p w14:paraId="3707B57A" w14:textId="2E78DD41" w:rsidR="0065131A" w:rsidRPr="0065131A" w:rsidRDefault="0065131A" w:rsidP="001C7728">
            <w:pPr>
              <w:pStyle w:val="ListParagraph"/>
              <w:numPr>
                <w:ilvl w:val="0"/>
                <w:numId w:val="23"/>
              </w:numPr>
              <w:spacing w:afterLines="0" w:after="360"/>
              <w:contextualSpacing w:val="0"/>
            </w:pPr>
            <w:r w:rsidRPr="0065131A">
              <w:t>That the contract is key to managing the Library</w:t>
            </w:r>
            <w:r w:rsidR="006A7BBD">
              <w:t>'</w:t>
            </w:r>
            <w:r w:rsidRPr="0065131A">
              <w:t>s strategic risks. This may be about mitigating service or financial loss, collections damage or reputational damage.</w:t>
            </w:r>
          </w:p>
          <w:p w14:paraId="3DC9D419" w14:textId="5300A530" w:rsidR="0065131A" w:rsidRDefault="0065131A" w:rsidP="001C7728">
            <w:pPr>
              <w:pStyle w:val="ListParagraph"/>
              <w:numPr>
                <w:ilvl w:val="0"/>
                <w:numId w:val="23"/>
              </w:numPr>
              <w:spacing w:afterLines="0" w:after="360"/>
              <w:contextualSpacing w:val="0"/>
            </w:pPr>
            <w:r w:rsidRPr="0065131A">
              <w:t>That the contract is key to any subsequent business continuity requirements – either dealing with the immediate incident or resumption</w:t>
            </w:r>
            <w:r w:rsidR="006A7BBD">
              <w:t xml:space="preserve"> and</w:t>
            </w:r>
            <w:r w:rsidR="00FA503B" w:rsidRPr="0065131A">
              <w:t xml:space="preserve"> </w:t>
            </w:r>
            <w:r w:rsidRPr="0065131A">
              <w:t>recovery phases.</w:t>
            </w:r>
          </w:p>
          <w:p w14:paraId="14EEBBC6" w14:textId="315D8AC8" w:rsidR="000C0F94" w:rsidRPr="0065131A" w:rsidRDefault="000C0F94" w:rsidP="001C7728">
            <w:pPr>
              <w:pStyle w:val="ListParagraph"/>
              <w:numPr>
                <w:ilvl w:val="0"/>
                <w:numId w:val="23"/>
              </w:numPr>
              <w:spacing w:afterLines="0" w:after="360"/>
              <w:contextualSpacing w:val="0"/>
            </w:pPr>
            <w:r>
              <w:t xml:space="preserve">Regulated </w:t>
            </w:r>
            <w:r w:rsidR="006C3601">
              <w:t xml:space="preserve">(over £50,000) advertised contracts </w:t>
            </w:r>
            <w:r w:rsidR="00B03398">
              <w:t xml:space="preserve">and contract period </w:t>
            </w:r>
            <w:r w:rsidR="00287857">
              <w:t xml:space="preserve">is more than </w:t>
            </w:r>
            <w:r w:rsidR="00486A51">
              <w:t xml:space="preserve">a </w:t>
            </w:r>
            <w:r w:rsidR="00DB2CB5">
              <w:t>12-month</w:t>
            </w:r>
            <w:r w:rsidR="00486A51">
              <w:t xml:space="preserve"> period.</w:t>
            </w:r>
          </w:p>
          <w:p w14:paraId="6D3EE6BF" w14:textId="68702603" w:rsidR="0065131A" w:rsidRPr="00A038E1" w:rsidRDefault="0065131A" w:rsidP="001C7728">
            <w:pPr>
              <w:spacing w:after="360"/>
              <w:rPr>
                <w:rFonts w:cs="Arial"/>
              </w:rPr>
            </w:pPr>
          </w:p>
        </w:tc>
      </w:tr>
      <w:tr w:rsidR="00B11B29" w:rsidRPr="00A038E1" w14:paraId="574C8806" w14:textId="77777777" w:rsidTr="00B11B29">
        <w:tc>
          <w:tcPr>
            <w:tcW w:w="1806" w:type="dxa"/>
          </w:tcPr>
          <w:p w14:paraId="743E2BEE" w14:textId="77777777" w:rsidR="00B11B29" w:rsidRPr="00A038E1" w:rsidRDefault="00B11B29">
            <w:pPr>
              <w:spacing w:after="360" w:line="276" w:lineRule="auto"/>
              <w:rPr>
                <w:rFonts w:cs="Arial"/>
              </w:rPr>
            </w:pPr>
          </w:p>
          <w:p w14:paraId="10284AA4" w14:textId="77777777" w:rsidR="00B11B29" w:rsidRPr="00A038E1" w:rsidRDefault="00B11B29">
            <w:pPr>
              <w:spacing w:after="360" w:line="276" w:lineRule="auto"/>
              <w:rPr>
                <w:rFonts w:cs="Arial"/>
              </w:rPr>
            </w:pPr>
            <w:r w:rsidRPr="00A038E1">
              <w:rPr>
                <w:rFonts w:cs="Arial"/>
              </w:rPr>
              <w:t>National Institutions</w:t>
            </w:r>
          </w:p>
          <w:p w14:paraId="74C42EBF" w14:textId="77777777" w:rsidR="00B11B29" w:rsidRPr="00A038E1" w:rsidRDefault="00B11B29">
            <w:pPr>
              <w:spacing w:after="360" w:line="276" w:lineRule="auto"/>
              <w:rPr>
                <w:rFonts w:cs="Arial"/>
              </w:rPr>
            </w:pPr>
          </w:p>
        </w:tc>
        <w:tc>
          <w:tcPr>
            <w:tcW w:w="7210" w:type="dxa"/>
          </w:tcPr>
          <w:p w14:paraId="254245EE" w14:textId="77777777" w:rsidR="00B11B29" w:rsidRPr="00A038E1" w:rsidRDefault="00B11B29" w:rsidP="001C137B">
            <w:pPr>
              <w:spacing w:after="360"/>
              <w:rPr>
                <w:rFonts w:cs="Arial"/>
              </w:rPr>
            </w:pPr>
          </w:p>
          <w:p w14:paraId="7A818EB4" w14:textId="77777777" w:rsidR="00B11B29" w:rsidRPr="00A038E1" w:rsidRDefault="00B11B29" w:rsidP="001C137B">
            <w:pPr>
              <w:spacing w:after="360"/>
              <w:rPr>
                <w:rFonts w:cs="Arial"/>
              </w:rPr>
            </w:pPr>
            <w:r w:rsidRPr="00A038E1">
              <w:rPr>
                <w:rFonts w:cs="Arial"/>
              </w:rPr>
              <w:t xml:space="preserve">Public sector cultural, museum or archive organisations </w:t>
            </w:r>
            <w:proofErr w:type="gramStart"/>
            <w:r w:rsidRPr="00A038E1">
              <w:rPr>
                <w:rFonts w:cs="Arial"/>
              </w:rPr>
              <w:t>similar to</w:t>
            </w:r>
            <w:proofErr w:type="gramEnd"/>
            <w:r w:rsidRPr="00A038E1">
              <w:rPr>
                <w:rFonts w:cs="Arial"/>
              </w:rPr>
              <w:t xml:space="preserve"> the Library e.g. National Museums of Scotland, National Galleries of Scotland, Historic Environment Scotland, National Records of Scotland, British Library. </w:t>
            </w:r>
          </w:p>
        </w:tc>
      </w:tr>
      <w:tr w:rsidR="00B11B29" w:rsidRPr="00A038E1" w14:paraId="16ECADC9" w14:textId="77777777" w:rsidTr="00B11B29">
        <w:tc>
          <w:tcPr>
            <w:tcW w:w="1806" w:type="dxa"/>
          </w:tcPr>
          <w:p w14:paraId="2E0B391B" w14:textId="77777777" w:rsidR="00B11B29" w:rsidRPr="00A038E1" w:rsidRDefault="00B11B29">
            <w:pPr>
              <w:spacing w:after="360" w:line="276" w:lineRule="auto"/>
              <w:rPr>
                <w:rFonts w:cs="Arial"/>
              </w:rPr>
            </w:pPr>
          </w:p>
          <w:p w14:paraId="7F9A7C00" w14:textId="77777777" w:rsidR="00B11B29" w:rsidRPr="00A038E1" w:rsidRDefault="00B11B29">
            <w:pPr>
              <w:spacing w:after="360" w:line="276" w:lineRule="auto"/>
              <w:rPr>
                <w:rFonts w:cs="Arial"/>
              </w:rPr>
            </w:pPr>
            <w:r w:rsidRPr="00A038E1">
              <w:rPr>
                <w:rFonts w:cs="Arial"/>
              </w:rPr>
              <w:t xml:space="preserve">NDPB </w:t>
            </w:r>
          </w:p>
        </w:tc>
        <w:tc>
          <w:tcPr>
            <w:tcW w:w="7210" w:type="dxa"/>
          </w:tcPr>
          <w:p w14:paraId="6493F8DE" w14:textId="77777777" w:rsidR="00B11B29" w:rsidRPr="00A038E1" w:rsidRDefault="00B11B29" w:rsidP="001C137B">
            <w:pPr>
              <w:spacing w:after="360"/>
              <w:rPr>
                <w:rFonts w:cs="Arial"/>
              </w:rPr>
            </w:pPr>
          </w:p>
          <w:p w14:paraId="1BBF5A02" w14:textId="7DAE9ABE" w:rsidR="00B11B29" w:rsidRPr="00A038E1" w:rsidRDefault="00DB2CB5" w:rsidP="001C137B">
            <w:pPr>
              <w:spacing w:after="360"/>
              <w:rPr>
                <w:rFonts w:cs="Arial"/>
              </w:rPr>
            </w:pPr>
            <w:r w:rsidRPr="00A038E1">
              <w:rPr>
                <w:rFonts w:cs="Arial"/>
              </w:rPr>
              <w:t>Non-Departmental</w:t>
            </w:r>
            <w:r w:rsidR="00B11B29" w:rsidRPr="00A038E1">
              <w:rPr>
                <w:rFonts w:cs="Arial"/>
              </w:rPr>
              <w:t xml:space="preserve"> </w:t>
            </w:r>
            <w:r w:rsidR="00134EA8">
              <w:rPr>
                <w:rFonts w:cs="Arial"/>
              </w:rPr>
              <w:t>P</w:t>
            </w:r>
            <w:r w:rsidR="00B11B29" w:rsidRPr="00A038E1">
              <w:rPr>
                <w:rFonts w:cs="Arial"/>
              </w:rPr>
              <w:t xml:space="preserve">ublic </w:t>
            </w:r>
            <w:r w:rsidR="00134EA8">
              <w:rPr>
                <w:rFonts w:cs="Arial"/>
              </w:rPr>
              <w:t>B</w:t>
            </w:r>
            <w:r w:rsidR="00B11B29" w:rsidRPr="00A038E1">
              <w:rPr>
                <w:rFonts w:cs="Arial"/>
              </w:rPr>
              <w:t>ody</w:t>
            </w:r>
          </w:p>
        </w:tc>
      </w:tr>
      <w:tr w:rsidR="00B11B29" w:rsidRPr="00A038E1" w14:paraId="0D21B3AB" w14:textId="77777777" w:rsidTr="00B11B29">
        <w:tc>
          <w:tcPr>
            <w:tcW w:w="1806" w:type="dxa"/>
          </w:tcPr>
          <w:p w14:paraId="10D3AE32" w14:textId="77777777" w:rsidR="00B11B29" w:rsidRPr="00A038E1" w:rsidRDefault="00B11B29">
            <w:pPr>
              <w:spacing w:after="360" w:line="276" w:lineRule="auto"/>
              <w:rPr>
                <w:rFonts w:cs="Arial"/>
              </w:rPr>
            </w:pPr>
          </w:p>
          <w:p w14:paraId="23CE7428" w14:textId="77777777" w:rsidR="00B11B29" w:rsidRPr="00A038E1" w:rsidRDefault="00B11B29">
            <w:pPr>
              <w:spacing w:after="360" w:line="276" w:lineRule="auto"/>
              <w:rPr>
                <w:rFonts w:cs="Arial"/>
              </w:rPr>
            </w:pPr>
            <w:r w:rsidRPr="00A038E1">
              <w:rPr>
                <w:rFonts w:cs="Arial"/>
              </w:rPr>
              <w:t>NRS</w:t>
            </w:r>
          </w:p>
        </w:tc>
        <w:tc>
          <w:tcPr>
            <w:tcW w:w="7210" w:type="dxa"/>
          </w:tcPr>
          <w:p w14:paraId="424ADAA7" w14:textId="77777777" w:rsidR="00B11B29" w:rsidRPr="00A038E1" w:rsidRDefault="00B11B29" w:rsidP="001C137B">
            <w:pPr>
              <w:spacing w:after="360"/>
              <w:rPr>
                <w:rFonts w:cs="Arial"/>
              </w:rPr>
            </w:pPr>
          </w:p>
          <w:p w14:paraId="4CB31461" w14:textId="77777777" w:rsidR="00B11B29" w:rsidRPr="00A038E1" w:rsidRDefault="00B11B29" w:rsidP="001C137B">
            <w:pPr>
              <w:spacing w:after="360"/>
              <w:rPr>
                <w:rFonts w:cs="Arial"/>
              </w:rPr>
            </w:pPr>
            <w:r w:rsidRPr="00A038E1">
              <w:rPr>
                <w:rFonts w:cs="Arial"/>
              </w:rPr>
              <w:t>National Records of Scotland</w:t>
            </w:r>
          </w:p>
        </w:tc>
      </w:tr>
      <w:tr w:rsidR="00B11B29" w:rsidRPr="00A038E1" w14:paraId="4EDEB326" w14:textId="77777777" w:rsidTr="00B11B29">
        <w:tc>
          <w:tcPr>
            <w:tcW w:w="1806" w:type="dxa"/>
          </w:tcPr>
          <w:p w14:paraId="60F66636" w14:textId="77777777" w:rsidR="00B11B29" w:rsidRPr="00A038E1" w:rsidRDefault="00B11B29">
            <w:pPr>
              <w:spacing w:after="360" w:line="276" w:lineRule="auto"/>
              <w:rPr>
                <w:rFonts w:cs="Arial"/>
              </w:rPr>
            </w:pPr>
          </w:p>
          <w:p w14:paraId="67BBFD35" w14:textId="77777777" w:rsidR="00B11B29" w:rsidRPr="00A038E1" w:rsidRDefault="00B11B29">
            <w:pPr>
              <w:spacing w:after="360" w:line="276" w:lineRule="auto"/>
              <w:rPr>
                <w:rFonts w:cs="Arial"/>
              </w:rPr>
            </w:pPr>
            <w:r w:rsidRPr="00A038E1">
              <w:rPr>
                <w:rFonts w:cs="Arial"/>
              </w:rPr>
              <w:t>PCIP</w:t>
            </w:r>
          </w:p>
          <w:p w14:paraId="31EDC10F" w14:textId="77777777" w:rsidR="00B11B29" w:rsidRPr="00A038E1" w:rsidRDefault="00B11B29">
            <w:pPr>
              <w:spacing w:after="360" w:line="276" w:lineRule="auto"/>
              <w:rPr>
                <w:rFonts w:cs="Arial"/>
              </w:rPr>
            </w:pPr>
          </w:p>
        </w:tc>
        <w:tc>
          <w:tcPr>
            <w:tcW w:w="7210" w:type="dxa"/>
          </w:tcPr>
          <w:p w14:paraId="09141805" w14:textId="77777777" w:rsidR="00B11B29" w:rsidRPr="00A038E1" w:rsidRDefault="00B11B29" w:rsidP="001C137B">
            <w:pPr>
              <w:spacing w:after="360"/>
              <w:rPr>
                <w:rFonts w:cs="Arial"/>
              </w:rPr>
            </w:pPr>
          </w:p>
          <w:p w14:paraId="62EA3ACD" w14:textId="3206ED55" w:rsidR="00B11B29" w:rsidRPr="00A038E1" w:rsidRDefault="00B11B29" w:rsidP="001C137B">
            <w:pPr>
              <w:spacing w:after="360"/>
              <w:rPr>
                <w:rFonts w:cs="Arial"/>
              </w:rPr>
            </w:pPr>
            <w:r w:rsidRPr="00A038E1">
              <w:rPr>
                <w:rFonts w:cs="Arial"/>
              </w:rPr>
              <w:t>Procurement &amp; Commercial Improvement Programme</w:t>
            </w:r>
            <w:r w:rsidR="00134EA8">
              <w:rPr>
                <w:rFonts w:cs="Arial"/>
              </w:rPr>
              <w:t>.</w:t>
            </w:r>
            <w:r w:rsidRPr="00A038E1">
              <w:rPr>
                <w:rFonts w:cs="Arial"/>
              </w:rPr>
              <w:t xml:space="preserve"> Public organisations are assessed externally every </w:t>
            </w:r>
            <w:r w:rsidR="00134EA8">
              <w:rPr>
                <w:rFonts w:cs="Arial"/>
              </w:rPr>
              <w:t>two</w:t>
            </w:r>
            <w:r w:rsidRPr="00A038E1">
              <w:rPr>
                <w:rFonts w:cs="Arial"/>
              </w:rPr>
              <w:t xml:space="preserve"> years against an agreed set of metrics with scoring and performance bandings.</w:t>
            </w:r>
          </w:p>
        </w:tc>
      </w:tr>
      <w:tr w:rsidR="00B11B29" w:rsidRPr="00A038E1" w14:paraId="5F9C928A" w14:textId="77777777" w:rsidTr="00B11B29">
        <w:tc>
          <w:tcPr>
            <w:tcW w:w="1806" w:type="dxa"/>
          </w:tcPr>
          <w:p w14:paraId="508B8921" w14:textId="77777777" w:rsidR="00B11B29" w:rsidRPr="00A038E1" w:rsidRDefault="00B11B29">
            <w:pPr>
              <w:spacing w:after="360" w:line="276" w:lineRule="auto"/>
              <w:rPr>
                <w:rFonts w:cs="Arial"/>
              </w:rPr>
            </w:pPr>
          </w:p>
          <w:p w14:paraId="1418860A" w14:textId="77777777" w:rsidR="00B11B29" w:rsidRPr="00A038E1" w:rsidRDefault="00B11B29">
            <w:pPr>
              <w:spacing w:after="360" w:line="276" w:lineRule="auto"/>
              <w:rPr>
                <w:rFonts w:cs="Arial"/>
              </w:rPr>
            </w:pPr>
            <w:r w:rsidRPr="00A038E1">
              <w:rPr>
                <w:rFonts w:cs="Arial"/>
              </w:rPr>
              <w:t>Procurement Journey</w:t>
            </w:r>
          </w:p>
        </w:tc>
        <w:tc>
          <w:tcPr>
            <w:tcW w:w="7210" w:type="dxa"/>
          </w:tcPr>
          <w:p w14:paraId="0BDAF950" w14:textId="77777777" w:rsidR="00B11B29" w:rsidRPr="00A038E1" w:rsidRDefault="00B11B29" w:rsidP="001C137B">
            <w:pPr>
              <w:spacing w:after="360"/>
              <w:rPr>
                <w:rFonts w:cs="Arial"/>
              </w:rPr>
            </w:pPr>
          </w:p>
          <w:p w14:paraId="6A9B3712" w14:textId="77777777" w:rsidR="00B11B29" w:rsidRPr="00A038E1" w:rsidRDefault="00B11B29" w:rsidP="001C137B">
            <w:pPr>
              <w:spacing w:after="360"/>
              <w:rPr>
                <w:rFonts w:cs="Arial"/>
              </w:rPr>
            </w:pPr>
            <w:r w:rsidRPr="00A038E1">
              <w:rPr>
                <w:rFonts w:cs="Arial"/>
              </w:rPr>
              <w:t xml:space="preserve">Scottish Government web-based toolkit intended to support all level of procurement activities and to help manage the expectations of stakeholders, </w:t>
            </w:r>
            <w:proofErr w:type="gramStart"/>
            <w:r w:rsidRPr="00A038E1">
              <w:rPr>
                <w:rFonts w:cs="Arial"/>
              </w:rPr>
              <w:t>customers</w:t>
            </w:r>
            <w:proofErr w:type="gramEnd"/>
            <w:r w:rsidRPr="00A038E1">
              <w:rPr>
                <w:rFonts w:cs="Arial"/>
              </w:rPr>
              <w:t xml:space="preserve"> and suppliers alike and facilitate best practice and consistency across the Scottish public sector. </w:t>
            </w:r>
          </w:p>
        </w:tc>
      </w:tr>
      <w:tr w:rsidR="00B11B29" w:rsidRPr="00A038E1" w14:paraId="1FC9E9C0" w14:textId="77777777" w:rsidTr="00B11B29">
        <w:tc>
          <w:tcPr>
            <w:tcW w:w="1806" w:type="dxa"/>
          </w:tcPr>
          <w:p w14:paraId="39D435DF" w14:textId="77777777" w:rsidR="00B11B29" w:rsidRPr="00A038E1" w:rsidRDefault="00B11B29">
            <w:pPr>
              <w:spacing w:after="360" w:line="276" w:lineRule="auto"/>
              <w:rPr>
                <w:rFonts w:cs="Arial"/>
              </w:rPr>
            </w:pPr>
          </w:p>
          <w:p w14:paraId="1D2376DE" w14:textId="77777777" w:rsidR="00B11B29" w:rsidRPr="00A038E1" w:rsidRDefault="00B11B29">
            <w:pPr>
              <w:spacing w:after="360" w:line="276" w:lineRule="auto"/>
              <w:rPr>
                <w:rFonts w:cs="Arial"/>
              </w:rPr>
            </w:pPr>
            <w:r w:rsidRPr="00A038E1">
              <w:rPr>
                <w:rFonts w:cs="Arial"/>
              </w:rPr>
              <w:lastRenderedPageBreak/>
              <w:t>Regulated procurements</w:t>
            </w:r>
          </w:p>
        </w:tc>
        <w:tc>
          <w:tcPr>
            <w:tcW w:w="7210" w:type="dxa"/>
          </w:tcPr>
          <w:p w14:paraId="7493E7BB" w14:textId="77777777" w:rsidR="00B11B29" w:rsidRPr="00A038E1" w:rsidRDefault="00B11B29" w:rsidP="001C137B">
            <w:pPr>
              <w:spacing w:after="360"/>
              <w:rPr>
                <w:rFonts w:cs="Arial"/>
              </w:rPr>
            </w:pPr>
          </w:p>
          <w:p w14:paraId="692DDCE7" w14:textId="05F321BE" w:rsidR="00B11B29" w:rsidRPr="00A038E1" w:rsidRDefault="00B11B29" w:rsidP="001C137B">
            <w:pPr>
              <w:spacing w:after="360"/>
              <w:rPr>
                <w:rFonts w:cs="Arial"/>
              </w:rPr>
            </w:pPr>
            <w:r w:rsidRPr="00A038E1">
              <w:rPr>
                <w:rFonts w:cs="Arial"/>
              </w:rPr>
              <w:lastRenderedPageBreak/>
              <w:t>Public contract for goods or services with total contract value of £50</w:t>
            </w:r>
            <w:r w:rsidR="00F34214">
              <w:rPr>
                <w:rFonts w:cs="Arial"/>
              </w:rPr>
              <w:t>,000</w:t>
            </w:r>
            <w:r w:rsidRPr="00A038E1">
              <w:rPr>
                <w:rFonts w:cs="Arial"/>
              </w:rPr>
              <w:t xml:space="preserve"> and above and below GPA threshold.</w:t>
            </w:r>
          </w:p>
          <w:p w14:paraId="1F808062" w14:textId="5B6237CF" w:rsidR="00B11B29" w:rsidRPr="00A038E1" w:rsidRDefault="00B11B29" w:rsidP="001C137B">
            <w:pPr>
              <w:spacing w:after="360"/>
              <w:rPr>
                <w:rFonts w:cs="Arial"/>
              </w:rPr>
            </w:pPr>
            <w:r w:rsidRPr="00A038E1">
              <w:rPr>
                <w:rFonts w:cs="Arial"/>
              </w:rPr>
              <w:t>Public works contract with a total contract value of £2</w:t>
            </w:r>
            <w:r w:rsidR="00A537B2">
              <w:rPr>
                <w:rFonts w:cs="Arial"/>
              </w:rPr>
              <w:t xml:space="preserve"> million</w:t>
            </w:r>
            <w:r w:rsidRPr="00A038E1">
              <w:rPr>
                <w:rFonts w:cs="Arial"/>
              </w:rPr>
              <w:t xml:space="preserve"> or above and below GPA threshold.</w:t>
            </w:r>
          </w:p>
        </w:tc>
      </w:tr>
      <w:tr w:rsidR="00B11B29" w:rsidRPr="00A038E1" w14:paraId="252E0124" w14:textId="77777777" w:rsidTr="00B11B29">
        <w:tc>
          <w:tcPr>
            <w:tcW w:w="1806" w:type="dxa"/>
          </w:tcPr>
          <w:p w14:paraId="20191C6E" w14:textId="77777777" w:rsidR="00B11B29" w:rsidRPr="00A038E1" w:rsidRDefault="00B11B29">
            <w:pPr>
              <w:spacing w:after="360" w:line="276" w:lineRule="auto"/>
              <w:rPr>
                <w:rFonts w:cs="Arial"/>
              </w:rPr>
            </w:pPr>
          </w:p>
          <w:p w14:paraId="7E646BD8" w14:textId="77777777" w:rsidR="00B11B29" w:rsidRPr="00A038E1" w:rsidRDefault="00B11B29">
            <w:pPr>
              <w:spacing w:after="360" w:line="276" w:lineRule="auto"/>
              <w:rPr>
                <w:rFonts w:cs="Arial"/>
              </w:rPr>
            </w:pPr>
            <w:r w:rsidRPr="00A038E1">
              <w:rPr>
                <w:rFonts w:cs="Arial"/>
              </w:rPr>
              <w:t>SME</w:t>
            </w:r>
          </w:p>
        </w:tc>
        <w:tc>
          <w:tcPr>
            <w:tcW w:w="7210" w:type="dxa"/>
          </w:tcPr>
          <w:p w14:paraId="6D8A2D09" w14:textId="77777777" w:rsidR="00B11B29" w:rsidRPr="00A038E1" w:rsidRDefault="00B11B29" w:rsidP="001C137B">
            <w:pPr>
              <w:spacing w:after="360"/>
              <w:rPr>
                <w:rFonts w:cs="Arial"/>
              </w:rPr>
            </w:pPr>
          </w:p>
          <w:p w14:paraId="68EE9DF0" w14:textId="77777777" w:rsidR="00B11B29" w:rsidRPr="00A038E1" w:rsidRDefault="00B11B29" w:rsidP="001C137B">
            <w:pPr>
              <w:spacing w:after="360"/>
              <w:rPr>
                <w:rFonts w:cs="Arial"/>
              </w:rPr>
            </w:pPr>
            <w:r w:rsidRPr="00A038E1">
              <w:rPr>
                <w:rFonts w:cs="Arial"/>
              </w:rPr>
              <w:t>Small and medium sized enterprises.</w:t>
            </w:r>
          </w:p>
        </w:tc>
      </w:tr>
      <w:tr w:rsidR="00B11B29" w:rsidRPr="00A038E1" w14:paraId="4412AA36" w14:textId="77777777" w:rsidTr="00B11B29">
        <w:tc>
          <w:tcPr>
            <w:tcW w:w="1806" w:type="dxa"/>
          </w:tcPr>
          <w:p w14:paraId="70EE8CB4" w14:textId="77777777" w:rsidR="00B11B29" w:rsidRPr="00A038E1" w:rsidRDefault="00B11B29">
            <w:pPr>
              <w:spacing w:after="360" w:line="276" w:lineRule="auto"/>
              <w:rPr>
                <w:rFonts w:cs="Arial"/>
              </w:rPr>
            </w:pPr>
          </w:p>
          <w:p w14:paraId="0A98D24D" w14:textId="77777777" w:rsidR="00B11B29" w:rsidRPr="00A038E1" w:rsidRDefault="00B11B29">
            <w:pPr>
              <w:spacing w:after="360" w:line="276" w:lineRule="auto"/>
              <w:rPr>
                <w:rFonts w:cs="Arial"/>
              </w:rPr>
            </w:pPr>
          </w:p>
          <w:p w14:paraId="23C87FA8" w14:textId="77777777" w:rsidR="00B11B29" w:rsidRPr="00A038E1" w:rsidRDefault="00B11B29">
            <w:pPr>
              <w:spacing w:after="360" w:line="276" w:lineRule="auto"/>
              <w:rPr>
                <w:rFonts w:cs="Arial"/>
              </w:rPr>
            </w:pPr>
            <w:r w:rsidRPr="00A038E1">
              <w:rPr>
                <w:rFonts w:cs="Arial"/>
              </w:rPr>
              <w:t>Social Enterprise</w:t>
            </w:r>
          </w:p>
          <w:p w14:paraId="5DD625E6" w14:textId="77777777" w:rsidR="00B11B29" w:rsidRPr="00A038E1" w:rsidRDefault="00B11B29">
            <w:pPr>
              <w:spacing w:after="360" w:line="276" w:lineRule="auto"/>
              <w:rPr>
                <w:rFonts w:cs="Arial"/>
              </w:rPr>
            </w:pPr>
          </w:p>
        </w:tc>
        <w:tc>
          <w:tcPr>
            <w:tcW w:w="7210" w:type="dxa"/>
          </w:tcPr>
          <w:p w14:paraId="47B2D4CD" w14:textId="77777777" w:rsidR="001C137B" w:rsidRDefault="001C137B" w:rsidP="001C137B">
            <w:pPr>
              <w:spacing w:after="360"/>
              <w:rPr>
                <w:rFonts w:cs="Arial"/>
              </w:rPr>
            </w:pPr>
          </w:p>
          <w:p w14:paraId="63B223C2" w14:textId="17FC5E1A" w:rsidR="00B11B29" w:rsidRPr="00A038E1" w:rsidRDefault="00B11B29" w:rsidP="001C137B">
            <w:pPr>
              <w:spacing w:after="360"/>
              <w:rPr>
                <w:rFonts w:cs="Arial"/>
              </w:rPr>
            </w:pPr>
            <w:r w:rsidRPr="00A038E1">
              <w:rPr>
                <w:rFonts w:cs="Arial"/>
              </w:rPr>
              <w:t>Not for profit organisations. Social enterprises trade to tackle social problems, improve communities, people's life chances, or the environment. They make their money from selling goods and services in the open market, but they invest their profits back into the business or the local community. So, when they profit, society profits.</w:t>
            </w:r>
          </w:p>
        </w:tc>
      </w:tr>
      <w:tr w:rsidR="00B11B29" w:rsidRPr="00A038E1" w14:paraId="4AFFB6FA" w14:textId="77777777" w:rsidTr="00B11B29">
        <w:tc>
          <w:tcPr>
            <w:tcW w:w="1806" w:type="dxa"/>
          </w:tcPr>
          <w:p w14:paraId="1B18A034" w14:textId="77777777" w:rsidR="00B11B29" w:rsidRPr="00A038E1" w:rsidRDefault="00B11B29">
            <w:pPr>
              <w:spacing w:after="360" w:line="276" w:lineRule="auto"/>
              <w:rPr>
                <w:rFonts w:cs="Arial"/>
              </w:rPr>
            </w:pPr>
          </w:p>
          <w:p w14:paraId="1AC6A26A" w14:textId="77777777" w:rsidR="00B11B29" w:rsidRPr="00A038E1" w:rsidRDefault="00B11B29">
            <w:pPr>
              <w:spacing w:after="360" w:line="276" w:lineRule="auto"/>
              <w:rPr>
                <w:rFonts w:cs="Arial"/>
              </w:rPr>
            </w:pPr>
            <w:r w:rsidRPr="00A038E1">
              <w:rPr>
                <w:rFonts w:cs="Arial"/>
              </w:rPr>
              <w:t>Supported Business</w:t>
            </w:r>
          </w:p>
          <w:p w14:paraId="515186D6" w14:textId="77777777" w:rsidR="00B11B29" w:rsidRPr="00A038E1" w:rsidRDefault="00B11B29">
            <w:pPr>
              <w:spacing w:after="360" w:line="276" w:lineRule="auto"/>
              <w:rPr>
                <w:rFonts w:cs="Arial"/>
              </w:rPr>
            </w:pPr>
          </w:p>
        </w:tc>
        <w:tc>
          <w:tcPr>
            <w:tcW w:w="7210" w:type="dxa"/>
          </w:tcPr>
          <w:p w14:paraId="3FAEA0C6" w14:textId="77777777" w:rsidR="00B11B29" w:rsidRPr="00A038E1" w:rsidRDefault="00B11B29" w:rsidP="001C137B">
            <w:pPr>
              <w:spacing w:after="360"/>
              <w:rPr>
                <w:rFonts w:cs="Arial"/>
              </w:rPr>
            </w:pPr>
          </w:p>
          <w:p w14:paraId="295AAE63" w14:textId="77777777" w:rsidR="00B11B29" w:rsidRPr="00A038E1" w:rsidRDefault="00B11B29" w:rsidP="001C137B">
            <w:pPr>
              <w:spacing w:after="360"/>
              <w:rPr>
                <w:rFonts w:cs="Arial"/>
              </w:rPr>
            </w:pPr>
            <w:r w:rsidRPr="00A038E1">
              <w:rPr>
                <w:rFonts w:cs="Arial"/>
              </w:rPr>
              <w:t>A supported business' primary aim is the social and professional integration of disabled or disadvantaged persons into the workplace.</w:t>
            </w:r>
          </w:p>
          <w:p w14:paraId="16E0D95E" w14:textId="77777777" w:rsidR="00B11B29" w:rsidRPr="00A038E1" w:rsidRDefault="00B11B29" w:rsidP="001C137B">
            <w:pPr>
              <w:spacing w:after="360"/>
              <w:rPr>
                <w:rFonts w:cs="Arial"/>
              </w:rPr>
            </w:pPr>
            <w:r w:rsidRPr="00A038E1">
              <w:rPr>
                <w:rFonts w:cs="Arial"/>
              </w:rPr>
              <w:t xml:space="preserve">In addition, at least 30% of the employees of the business should be disabled or disadvantaged. </w:t>
            </w:r>
          </w:p>
        </w:tc>
      </w:tr>
    </w:tbl>
    <w:p w14:paraId="3E354DA5" w14:textId="61498498" w:rsidR="004E62AC" w:rsidRPr="007847C3" w:rsidRDefault="004E62AC" w:rsidP="36C7B31F">
      <w:pPr>
        <w:spacing w:after="360"/>
        <w:rPr>
          <w:rFonts w:ascii="Open Sans" w:eastAsia="Times New Roman" w:hAnsi="Open Sans" w:cs="Open Sans"/>
          <w:color w:val="000000"/>
          <w:sz w:val="21"/>
          <w:szCs w:val="21"/>
          <w:lang w:eastAsia="en-GB"/>
        </w:rPr>
      </w:pPr>
      <w:r>
        <w:br w:type="page"/>
      </w:r>
    </w:p>
    <w:p w14:paraId="36803E98" w14:textId="2CD462AE" w:rsidR="00016C83" w:rsidRPr="00BF6BEC" w:rsidRDefault="00995125" w:rsidP="36C7B31F">
      <w:pPr>
        <w:pStyle w:val="Heading2"/>
        <w:numPr>
          <w:ilvl w:val="0"/>
          <w:numId w:val="0"/>
        </w:numPr>
        <w:spacing w:before="0" w:after="360"/>
      </w:pPr>
      <w:bookmarkStart w:id="34" w:name="_Toc777561918"/>
      <w:bookmarkStart w:id="35" w:name="_Toc959047578"/>
      <w:bookmarkStart w:id="36" w:name="_Toc110486771"/>
      <w:bookmarkStart w:id="37" w:name="_Toc170116853"/>
      <w:r>
        <w:lastRenderedPageBreak/>
        <w:t xml:space="preserve">Document </w:t>
      </w:r>
      <w:proofErr w:type="gramStart"/>
      <w:r w:rsidR="009178F1">
        <w:t>i</w:t>
      </w:r>
      <w:r>
        <w:t>nformation</w:t>
      </w:r>
      <w:bookmarkEnd w:id="34"/>
      <w:bookmarkEnd w:id="35"/>
      <w:bookmarkEnd w:id="36"/>
      <w:bookmarkEnd w:id="37"/>
      <w:proofErr w:type="gramEnd"/>
    </w:p>
    <w:p w14:paraId="7A126C42" w14:textId="756F67FC" w:rsidR="00355B82" w:rsidRPr="00355B82" w:rsidRDefault="00995125" w:rsidP="36C7B31F">
      <w:pPr>
        <w:pStyle w:val="ListParagraph"/>
        <w:numPr>
          <w:ilvl w:val="0"/>
          <w:numId w:val="1"/>
        </w:numPr>
        <w:spacing w:after="360"/>
        <w:ind w:hanging="357"/>
        <w:rPr>
          <w:rFonts w:eastAsiaTheme="minorEastAsia" w:cs="Arial"/>
        </w:rPr>
      </w:pPr>
      <w:r w:rsidRPr="36C7B31F">
        <w:rPr>
          <w:rFonts w:cs="Arial"/>
        </w:rPr>
        <w:t xml:space="preserve">Document </w:t>
      </w:r>
      <w:r w:rsidR="00E11BBB" w:rsidRPr="36C7B31F">
        <w:rPr>
          <w:rFonts w:cs="Arial"/>
        </w:rPr>
        <w:t>n</w:t>
      </w:r>
      <w:r w:rsidRPr="36C7B31F">
        <w:rPr>
          <w:rFonts w:cs="Arial"/>
        </w:rPr>
        <w:t>ame:</w:t>
      </w:r>
      <w:r w:rsidR="009B0B69">
        <w:rPr>
          <w:rFonts w:cs="Arial"/>
        </w:rPr>
        <w:t xml:space="preserve"> </w:t>
      </w:r>
      <w:r w:rsidR="00B11B29">
        <w:rPr>
          <w:rFonts w:cs="Arial"/>
        </w:rPr>
        <w:t>Procurement Plan (Strategy)</w:t>
      </w:r>
    </w:p>
    <w:p w14:paraId="7F372D0B" w14:textId="0D16F680" w:rsidR="00C237AB" w:rsidRPr="00C237AB" w:rsidRDefault="00995125" w:rsidP="36C7B31F">
      <w:pPr>
        <w:pStyle w:val="ListParagraph"/>
        <w:numPr>
          <w:ilvl w:val="0"/>
          <w:numId w:val="1"/>
        </w:numPr>
        <w:spacing w:after="360"/>
        <w:ind w:hanging="357"/>
        <w:rPr>
          <w:rFonts w:cs="Arial"/>
        </w:rPr>
      </w:pPr>
      <w:r w:rsidRPr="36C7B31F">
        <w:rPr>
          <w:rFonts w:cs="Arial"/>
        </w:rPr>
        <w:t xml:space="preserve">Document </w:t>
      </w:r>
      <w:r w:rsidR="00E11BBB" w:rsidRPr="36C7B31F">
        <w:rPr>
          <w:rFonts w:cs="Arial"/>
        </w:rPr>
        <w:t>s</w:t>
      </w:r>
      <w:r w:rsidRPr="36C7B31F">
        <w:rPr>
          <w:rFonts w:cs="Arial"/>
        </w:rPr>
        <w:t>tatus:</w:t>
      </w:r>
      <w:r w:rsidR="00B11B29">
        <w:rPr>
          <w:rFonts w:cs="Arial"/>
        </w:rPr>
        <w:t xml:space="preserve"> </w:t>
      </w:r>
      <w:proofErr w:type="gramStart"/>
      <w:r w:rsidR="00B11B29">
        <w:rPr>
          <w:rFonts w:cs="Arial"/>
        </w:rPr>
        <w:t>Final</w:t>
      </w:r>
      <w:proofErr w:type="gramEnd"/>
    </w:p>
    <w:p w14:paraId="1042E47A" w14:textId="7CEDFD1C" w:rsidR="005A2812" w:rsidRDefault="00E86F5F" w:rsidP="36C7B31F">
      <w:pPr>
        <w:pStyle w:val="ListParagraph"/>
        <w:numPr>
          <w:ilvl w:val="0"/>
          <w:numId w:val="1"/>
        </w:numPr>
        <w:spacing w:after="360"/>
        <w:ind w:hanging="357"/>
        <w:rPr>
          <w:rFonts w:cs="Arial"/>
        </w:rPr>
      </w:pPr>
      <w:r w:rsidRPr="0AFC8B07">
        <w:rPr>
          <w:rFonts w:cs="Arial"/>
        </w:rPr>
        <w:t>Contact</w:t>
      </w:r>
      <w:r w:rsidR="00995125" w:rsidRPr="0AFC8B07">
        <w:rPr>
          <w:rFonts w:cs="Arial"/>
        </w:rPr>
        <w:t>:</w:t>
      </w:r>
      <w:r w:rsidR="00C237AB" w:rsidRPr="0AFC8B07">
        <w:rPr>
          <w:rFonts w:cs="Arial"/>
        </w:rPr>
        <w:t xml:space="preserve"> </w:t>
      </w:r>
      <w:r w:rsidR="00B11B29">
        <w:rPr>
          <w:rFonts w:cs="Arial"/>
        </w:rPr>
        <w:t>Chief Operating Officer</w:t>
      </w:r>
    </w:p>
    <w:p w14:paraId="24937FAB" w14:textId="552BE6D2" w:rsidR="00323243" w:rsidRPr="005A2812" w:rsidRDefault="00995125" w:rsidP="36C7B31F">
      <w:pPr>
        <w:pStyle w:val="ListParagraph"/>
        <w:numPr>
          <w:ilvl w:val="0"/>
          <w:numId w:val="1"/>
        </w:numPr>
        <w:spacing w:after="360"/>
        <w:ind w:hanging="357"/>
        <w:rPr>
          <w:rFonts w:cs="Arial"/>
        </w:rPr>
      </w:pPr>
      <w:r>
        <w:t>App</w:t>
      </w:r>
      <w:r w:rsidR="00192226">
        <w:t xml:space="preserve">roval: </w:t>
      </w:r>
    </w:p>
    <w:p w14:paraId="35E4C62D" w14:textId="521A45A8" w:rsidR="00323243" w:rsidRPr="007A3C82" w:rsidRDefault="00323243" w:rsidP="36C7B31F">
      <w:pPr>
        <w:pStyle w:val="ListParagraph"/>
        <w:numPr>
          <w:ilvl w:val="1"/>
          <w:numId w:val="1"/>
        </w:numPr>
        <w:spacing w:after="360"/>
        <w:ind w:hanging="357"/>
        <w:rPr>
          <w:rFonts w:eastAsiaTheme="minorEastAsia" w:cs="Arial"/>
          <w:color w:val="FF0000"/>
        </w:rPr>
      </w:pPr>
      <w:r w:rsidRPr="36C7B31F">
        <w:rPr>
          <w:rFonts w:eastAsiaTheme="minorEastAsia" w:cs="Arial"/>
        </w:rPr>
        <w:t>Date of L</w:t>
      </w:r>
      <w:r w:rsidR="00EA3BBB" w:rsidRPr="36C7B31F">
        <w:rPr>
          <w:rFonts w:eastAsiaTheme="minorEastAsia" w:cs="Arial"/>
        </w:rPr>
        <w:t xml:space="preserve">ibrary </w:t>
      </w:r>
      <w:r w:rsidRPr="36C7B31F">
        <w:rPr>
          <w:rFonts w:eastAsiaTheme="minorEastAsia" w:cs="Arial"/>
        </w:rPr>
        <w:t>L</w:t>
      </w:r>
      <w:r w:rsidR="00EA3BBB" w:rsidRPr="36C7B31F">
        <w:rPr>
          <w:rFonts w:eastAsiaTheme="minorEastAsia" w:cs="Arial"/>
        </w:rPr>
        <w:t>eadership Team</w:t>
      </w:r>
      <w:r w:rsidRPr="36C7B31F">
        <w:rPr>
          <w:rFonts w:eastAsiaTheme="minorEastAsia" w:cs="Arial"/>
        </w:rPr>
        <w:t xml:space="preserve"> Approval: </w:t>
      </w:r>
      <w:r w:rsidR="003D6CBE" w:rsidRPr="003D6CBE">
        <w:rPr>
          <w:rFonts w:eastAsiaTheme="minorEastAsia" w:cs="Arial"/>
        </w:rPr>
        <w:t xml:space="preserve">Not </w:t>
      </w:r>
      <w:r w:rsidR="003D6CBE">
        <w:rPr>
          <w:rFonts w:eastAsiaTheme="minorEastAsia" w:cs="Arial"/>
        </w:rPr>
        <w:t>A</w:t>
      </w:r>
      <w:r w:rsidR="003D6CBE" w:rsidRPr="003D6CBE">
        <w:rPr>
          <w:rFonts w:eastAsiaTheme="minorEastAsia" w:cs="Arial"/>
        </w:rPr>
        <w:t xml:space="preserve">pplicable </w:t>
      </w:r>
    </w:p>
    <w:p w14:paraId="6F1D07B0" w14:textId="1E46D67D" w:rsidR="00995125" w:rsidRPr="00423A38" w:rsidRDefault="00995125" w:rsidP="36C7B31F">
      <w:pPr>
        <w:pStyle w:val="ListParagraph"/>
        <w:numPr>
          <w:ilvl w:val="1"/>
          <w:numId w:val="1"/>
        </w:numPr>
        <w:spacing w:after="360"/>
        <w:ind w:hanging="357"/>
        <w:rPr>
          <w:rFonts w:cs="Arial"/>
        </w:rPr>
      </w:pPr>
      <w:r w:rsidRPr="36C7B31F">
        <w:rPr>
          <w:rFonts w:cs="Arial"/>
        </w:rPr>
        <w:t>Date of Whitley Approval:</w:t>
      </w:r>
      <w:r w:rsidR="002734BA" w:rsidRPr="36C7B31F">
        <w:rPr>
          <w:rFonts w:cs="Arial"/>
        </w:rPr>
        <w:t xml:space="preserve"> </w:t>
      </w:r>
      <w:r w:rsidR="007A3C82">
        <w:rPr>
          <w:rFonts w:cs="Arial"/>
        </w:rPr>
        <w:t>Not applicable</w:t>
      </w:r>
    </w:p>
    <w:p w14:paraId="2E77DC8A" w14:textId="48FF0934" w:rsidR="00323243" w:rsidRPr="00423A38" w:rsidRDefault="0067781E" w:rsidP="36C7B31F">
      <w:pPr>
        <w:pStyle w:val="ListParagraph"/>
        <w:numPr>
          <w:ilvl w:val="1"/>
          <w:numId w:val="1"/>
        </w:numPr>
        <w:spacing w:after="360"/>
        <w:ind w:hanging="357"/>
        <w:rPr>
          <w:rFonts w:cs="Arial"/>
        </w:rPr>
      </w:pPr>
      <w:r w:rsidRPr="36C7B31F">
        <w:rPr>
          <w:rFonts w:cs="Arial"/>
        </w:rPr>
        <w:t>Date</w:t>
      </w:r>
      <w:r w:rsidR="00F713FD" w:rsidRPr="36C7B31F">
        <w:rPr>
          <w:rFonts w:cs="Arial"/>
        </w:rPr>
        <w:t xml:space="preserve"> of Audit Committee Approval: </w:t>
      </w:r>
      <w:r w:rsidR="003D6CBE" w:rsidRPr="003D6CBE">
        <w:rPr>
          <w:rFonts w:eastAsiaTheme="minorEastAsia" w:cs="Arial"/>
        </w:rPr>
        <w:t xml:space="preserve">Not Applicable </w:t>
      </w:r>
    </w:p>
    <w:p w14:paraId="47BCE033" w14:textId="01C81800" w:rsidR="00995125" w:rsidRPr="004F668E" w:rsidRDefault="00995125" w:rsidP="36C7B31F">
      <w:pPr>
        <w:pStyle w:val="ListParagraph"/>
        <w:numPr>
          <w:ilvl w:val="0"/>
          <w:numId w:val="1"/>
        </w:numPr>
        <w:spacing w:after="360"/>
        <w:ind w:hanging="357"/>
        <w:rPr>
          <w:rFonts w:cs="Arial"/>
        </w:rPr>
      </w:pPr>
      <w:r w:rsidRPr="36C7B31F">
        <w:rPr>
          <w:rFonts w:cs="Arial"/>
        </w:rPr>
        <w:t>E</w:t>
      </w:r>
      <w:r w:rsidR="00757617" w:rsidRPr="36C7B31F">
        <w:rPr>
          <w:rFonts w:cs="Arial"/>
        </w:rPr>
        <w:t xml:space="preserve">quality </w:t>
      </w:r>
      <w:r w:rsidRPr="36C7B31F">
        <w:rPr>
          <w:rFonts w:cs="Arial"/>
        </w:rPr>
        <w:t>I</w:t>
      </w:r>
      <w:r w:rsidR="00757617" w:rsidRPr="36C7B31F">
        <w:rPr>
          <w:rFonts w:cs="Arial"/>
        </w:rPr>
        <w:t xml:space="preserve">mpact </w:t>
      </w:r>
      <w:r w:rsidRPr="36C7B31F">
        <w:rPr>
          <w:rFonts w:cs="Arial"/>
        </w:rPr>
        <w:t>A</w:t>
      </w:r>
      <w:r w:rsidR="00757617" w:rsidRPr="36C7B31F">
        <w:rPr>
          <w:rFonts w:cs="Arial"/>
        </w:rPr>
        <w:t>ssessment</w:t>
      </w:r>
      <w:r w:rsidRPr="36C7B31F">
        <w:rPr>
          <w:rFonts w:cs="Arial"/>
        </w:rPr>
        <w:t xml:space="preserve"> </w:t>
      </w:r>
      <w:r w:rsidR="00316EEE" w:rsidRPr="36C7B31F">
        <w:rPr>
          <w:rFonts w:cs="Arial"/>
        </w:rPr>
        <w:t>C</w:t>
      </w:r>
      <w:r w:rsidRPr="36C7B31F">
        <w:rPr>
          <w:rFonts w:cs="Arial"/>
        </w:rPr>
        <w:t xml:space="preserve">ompleted: </w:t>
      </w:r>
      <w:r w:rsidR="004F668E" w:rsidRPr="004F668E">
        <w:rPr>
          <w:rFonts w:cs="Arial"/>
        </w:rPr>
        <w:t>See EQIA for Procurement Policy 2024</w:t>
      </w:r>
    </w:p>
    <w:p w14:paraId="4C2DE54D" w14:textId="7CC1B081" w:rsidR="008333F3" w:rsidRPr="008333F3" w:rsidRDefault="008333F3" w:rsidP="36C7B31F">
      <w:pPr>
        <w:pStyle w:val="ListParagraph"/>
        <w:numPr>
          <w:ilvl w:val="0"/>
          <w:numId w:val="1"/>
        </w:numPr>
        <w:spacing w:after="360"/>
        <w:ind w:hanging="357"/>
        <w:rPr>
          <w:rFonts w:cs="Arial"/>
        </w:rPr>
      </w:pPr>
      <w:r w:rsidRPr="36C7B31F">
        <w:rPr>
          <w:rFonts w:cs="Arial"/>
        </w:rPr>
        <w:t xml:space="preserve">Date of </w:t>
      </w:r>
      <w:r w:rsidR="00E11BBB" w:rsidRPr="36C7B31F">
        <w:rPr>
          <w:rFonts w:cs="Arial"/>
        </w:rPr>
        <w:t>n</w:t>
      </w:r>
      <w:r w:rsidRPr="36C7B31F">
        <w:rPr>
          <w:rFonts w:cs="Arial"/>
        </w:rPr>
        <w:t xml:space="preserve">ext </w:t>
      </w:r>
      <w:r w:rsidR="00E11BBB" w:rsidRPr="36C7B31F">
        <w:rPr>
          <w:rFonts w:cs="Arial"/>
        </w:rPr>
        <w:t>r</w:t>
      </w:r>
      <w:r w:rsidRPr="36C7B31F">
        <w:rPr>
          <w:rFonts w:cs="Arial"/>
        </w:rPr>
        <w:t xml:space="preserve">eview: </w:t>
      </w:r>
      <w:r w:rsidR="007A3C82">
        <w:rPr>
          <w:rFonts w:cs="Arial"/>
        </w:rPr>
        <w:t>June 2026</w:t>
      </w:r>
    </w:p>
    <w:p w14:paraId="4B8D3806" w14:textId="77777777" w:rsidR="00E63C07" w:rsidRPr="00BF6BEC" w:rsidRDefault="00E63C07" w:rsidP="36C7B31F">
      <w:pPr>
        <w:pStyle w:val="ListParagraph"/>
        <w:numPr>
          <w:ilvl w:val="0"/>
          <w:numId w:val="1"/>
        </w:numPr>
        <w:spacing w:after="360"/>
        <w:ind w:hanging="357"/>
        <w:rPr>
          <w:rFonts w:eastAsiaTheme="minorEastAsia" w:cs="Arial"/>
        </w:rPr>
      </w:pPr>
      <w:r w:rsidRPr="36C7B31F">
        <w:rPr>
          <w:rFonts w:cs="Arial"/>
        </w:rPr>
        <w:t>Business classification:</w:t>
      </w:r>
    </w:p>
    <w:p w14:paraId="2C70089F" w14:textId="5A3BB0A8" w:rsidR="00BF6BEC" w:rsidRPr="00E63C07" w:rsidRDefault="00E63C07" w:rsidP="36C7B31F">
      <w:pPr>
        <w:pStyle w:val="ListParagraph"/>
        <w:numPr>
          <w:ilvl w:val="0"/>
          <w:numId w:val="1"/>
        </w:numPr>
        <w:spacing w:after="360"/>
        <w:ind w:hanging="357"/>
        <w:rPr>
          <w:rFonts w:cs="Arial"/>
        </w:rPr>
      </w:pPr>
      <w:r w:rsidRPr="36C7B31F">
        <w:rPr>
          <w:rFonts w:cs="Arial"/>
        </w:rPr>
        <w:t>Retention:</w:t>
      </w:r>
    </w:p>
    <w:p w14:paraId="3E7068A1" w14:textId="751FD78A" w:rsidR="000B3666" w:rsidRPr="00F26D35" w:rsidRDefault="00995125" w:rsidP="36C7B31F">
      <w:pPr>
        <w:pStyle w:val="Heading2"/>
        <w:numPr>
          <w:ilvl w:val="0"/>
          <w:numId w:val="0"/>
        </w:numPr>
        <w:spacing w:before="0" w:after="360"/>
      </w:pPr>
      <w:bookmarkStart w:id="38" w:name="_Toc1000603206"/>
      <w:bookmarkStart w:id="39" w:name="_Toc548997067"/>
      <w:bookmarkStart w:id="40" w:name="_Toc110486772"/>
      <w:bookmarkStart w:id="41" w:name="_Toc170116854"/>
      <w:r>
        <w:t xml:space="preserve">Document </w:t>
      </w:r>
      <w:proofErr w:type="gramStart"/>
      <w:r w:rsidR="00095C46">
        <w:t>c</w:t>
      </w:r>
      <w:r>
        <w:t>ontrol</w:t>
      </w:r>
      <w:bookmarkEnd w:id="38"/>
      <w:bookmarkEnd w:id="39"/>
      <w:bookmarkEnd w:id="40"/>
      <w:bookmarkEnd w:id="41"/>
      <w:proofErr w:type="gramEnd"/>
    </w:p>
    <w:tbl>
      <w:tblPr>
        <w:tblStyle w:val="TableGrid"/>
        <w:tblW w:w="0" w:type="auto"/>
        <w:tblLook w:val="04A0" w:firstRow="1" w:lastRow="0" w:firstColumn="1" w:lastColumn="0" w:noHBand="0" w:noVBand="1"/>
      </w:tblPr>
      <w:tblGrid>
        <w:gridCol w:w="4508"/>
        <w:gridCol w:w="4508"/>
      </w:tblGrid>
      <w:tr w:rsidR="00600A18" w14:paraId="7A0F981B" w14:textId="77777777" w:rsidTr="36C7B31F">
        <w:trPr>
          <w:cantSplit/>
          <w:tblHeader/>
        </w:trPr>
        <w:tc>
          <w:tcPr>
            <w:tcW w:w="4508" w:type="dxa"/>
          </w:tcPr>
          <w:p w14:paraId="1214F8C6" w14:textId="2AB4FD31" w:rsidR="00600A18" w:rsidRDefault="00600A18" w:rsidP="36C7B31F">
            <w:pPr>
              <w:spacing w:after="360"/>
              <w:rPr>
                <w:rFonts w:cs="Arial"/>
              </w:rPr>
            </w:pPr>
            <w:r w:rsidRPr="36C7B31F">
              <w:rPr>
                <w:rFonts w:cs="Arial"/>
              </w:rPr>
              <w:t>Date</w:t>
            </w:r>
          </w:p>
        </w:tc>
        <w:tc>
          <w:tcPr>
            <w:tcW w:w="4508" w:type="dxa"/>
          </w:tcPr>
          <w:p w14:paraId="49987D66" w14:textId="316F19CB" w:rsidR="00600A18" w:rsidRDefault="00600A18" w:rsidP="36C7B31F">
            <w:pPr>
              <w:spacing w:after="360"/>
              <w:rPr>
                <w:rFonts w:cs="Arial"/>
              </w:rPr>
            </w:pPr>
            <w:r w:rsidRPr="36C7B31F">
              <w:rPr>
                <w:rFonts w:cs="Arial"/>
              </w:rPr>
              <w:t>Action</w:t>
            </w:r>
          </w:p>
        </w:tc>
      </w:tr>
      <w:tr w:rsidR="00600A18" w14:paraId="011ED000" w14:textId="77777777" w:rsidTr="36C7B31F">
        <w:tc>
          <w:tcPr>
            <w:tcW w:w="4508" w:type="dxa"/>
          </w:tcPr>
          <w:p w14:paraId="434B2CC9" w14:textId="20324545" w:rsidR="00600A18" w:rsidRPr="003D76CF" w:rsidRDefault="007A3C82" w:rsidP="36C7B31F">
            <w:pPr>
              <w:spacing w:after="360"/>
              <w:rPr>
                <w:rFonts w:cs="Arial"/>
              </w:rPr>
            </w:pPr>
            <w:r>
              <w:rPr>
                <w:rFonts w:cs="Arial"/>
              </w:rPr>
              <w:t>June 2024</w:t>
            </w:r>
          </w:p>
        </w:tc>
        <w:tc>
          <w:tcPr>
            <w:tcW w:w="4508" w:type="dxa"/>
          </w:tcPr>
          <w:p w14:paraId="413C7DCF" w14:textId="29844E37" w:rsidR="00600A18" w:rsidRDefault="007A3C82" w:rsidP="36C7B31F">
            <w:pPr>
              <w:spacing w:after="360"/>
              <w:rPr>
                <w:rStyle w:val="normaltextrun"/>
                <w:color w:val="000000" w:themeColor="text1"/>
              </w:rPr>
            </w:pPr>
            <w:r>
              <w:rPr>
                <w:rStyle w:val="normaltextrun"/>
                <w:color w:val="000000" w:themeColor="text1"/>
              </w:rPr>
              <w:t>Review</w:t>
            </w:r>
            <w:r w:rsidR="00224510">
              <w:rPr>
                <w:rStyle w:val="normaltextrun"/>
                <w:color w:val="000000" w:themeColor="text1"/>
              </w:rPr>
              <w:t xml:space="preserve">ed with </w:t>
            </w:r>
            <w:r>
              <w:rPr>
                <w:rStyle w:val="normaltextrun"/>
                <w:color w:val="000000" w:themeColor="text1"/>
              </w:rPr>
              <w:t xml:space="preserve">minor changes across the document. </w:t>
            </w:r>
          </w:p>
          <w:p w14:paraId="3601E0EE" w14:textId="2E735499" w:rsidR="007A3C82" w:rsidRPr="003D76CF" w:rsidRDefault="007A3C82" w:rsidP="36C7B31F">
            <w:pPr>
              <w:spacing w:after="360"/>
              <w:rPr>
                <w:rFonts w:cs="Arial"/>
              </w:rPr>
            </w:pPr>
            <w:r>
              <w:rPr>
                <w:rFonts w:cs="Arial"/>
              </w:rPr>
              <w:t>Move to new policy template and accessible format</w:t>
            </w:r>
            <w:r w:rsidR="00DB2CB5">
              <w:rPr>
                <w:rFonts w:cs="Arial"/>
              </w:rPr>
              <w:t>.</w:t>
            </w:r>
            <w:r>
              <w:rPr>
                <w:rFonts w:cs="Arial"/>
              </w:rPr>
              <w:t xml:space="preserve"> </w:t>
            </w:r>
          </w:p>
        </w:tc>
      </w:tr>
    </w:tbl>
    <w:p w14:paraId="0233FC45" w14:textId="1F61A4A2" w:rsidR="002677EA" w:rsidRDefault="002677EA" w:rsidP="00135E76">
      <w:pPr>
        <w:spacing w:after="360"/>
        <w:rPr>
          <w:rFonts w:cs="Arial"/>
          <w:szCs w:val="24"/>
        </w:rPr>
      </w:pPr>
    </w:p>
    <w:sectPr w:rsidR="002677EA" w:rsidSect="0099512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DE501" w14:textId="77777777" w:rsidR="00902598" w:rsidRDefault="00902598" w:rsidP="00995125">
      <w:pPr>
        <w:spacing w:after="360" w:line="240" w:lineRule="auto"/>
      </w:pPr>
      <w:r>
        <w:separator/>
      </w:r>
    </w:p>
  </w:endnote>
  <w:endnote w:type="continuationSeparator" w:id="0">
    <w:p w14:paraId="04DD9535" w14:textId="77777777" w:rsidR="00902598" w:rsidRDefault="00902598" w:rsidP="00995125">
      <w:pPr>
        <w:spacing w:after="360" w:line="240" w:lineRule="auto"/>
      </w:pPr>
      <w:r>
        <w:continuationSeparator/>
      </w:r>
    </w:p>
  </w:endnote>
  <w:endnote w:type="continuationNotice" w:id="1">
    <w:p w14:paraId="171DBB8C" w14:textId="77777777" w:rsidR="00902598" w:rsidRDefault="00902598">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FBB6F" w14:textId="77777777" w:rsidR="00324073" w:rsidRDefault="00324073">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F060" w14:textId="59B050FD" w:rsidR="00995125" w:rsidRPr="00995125" w:rsidRDefault="00B11B29" w:rsidP="00B11B29">
    <w:pPr>
      <w:spacing w:after="360" w:line="276" w:lineRule="auto"/>
      <w:rPr>
        <w:rFonts w:cs="Arial"/>
        <w:b/>
        <w:bCs/>
        <w:szCs w:val="24"/>
      </w:rPr>
    </w:pPr>
    <w:r w:rsidRPr="00DF1C91">
      <w:rPr>
        <w:rFonts w:cs="Arial"/>
        <w:sz w:val="20"/>
        <w:szCs w:val="20"/>
      </w:rPr>
      <w:t>The National Library of Scotland is a Registered Scottish Charity. Scottish Charity No. SC011086</w:t>
    </w:r>
    <w:r w:rsidRPr="00DF1C91">
      <w:rPr>
        <w:rFonts w:cs="Arial"/>
        <w:sz w:val="20"/>
        <w:szCs w:val="20"/>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DF1C91">
      <w:rPr>
        <w:rFonts w:cs="Arial"/>
        <w:szCs w:val="24"/>
      </w:rPr>
      <w:tab/>
    </w:r>
    <w:r w:rsidR="00DF1C91">
      <w:rPr>
        <w:rFonts w:cs="Arial"/>
        <w:szCs w:val="24"/>
      </w:rPr>
      <w:tab/>
    </w:r>
    <w:r w:rsidR="00DF1C91">
      <w:rPr>
        <w:rFonts w:cs="Arial"/>
        <w:szCs w:val="24"/>
      </w:rPr>
      <w:tab/>
    </w:r>
    <w:r w:rsidR="00995125" w:rsidRPr="00995125">
      <w:rPr>
        <w:rFonts w:cs="Arial"/>
      </w:rPr>
      <w:t xml:space="preserve">Page </w:t>
    </w:r>
    <w:r w:rsidR="00995125" w:rsidRPr="00995125">
      <w:rPr>
        <w:rFonts w:cs="Arial"/>
        <w:b/>
        <w:bCs/>
        <w:szCs w:val="24"/>
      </w:rPr>
      <w:fldChar w:fldCharType="begin"/>
    </w:r>
    <w:r w:rsidR="00995125" w:rsidRPr="00995125">
      <w:rPr>
        <w:rFonts w:cs="Arial"/>
        <w:b/>
        <w:bCs/>
      </w:rPr>
      <w:instrText xml:space="preserve"> PAGE </w:instrText>
    </w:r>
    <w:r w:rsidR="00995125" w:rsidRPr="00995125">
      <w:rPr>
        <w:rFonts w:cs="Arial"/>
        <w:b/>
        <w:bCs/>
        <w:szCs w:val="24"/>
      </w:rPr>
      <w:fldChar w:fldCharType="separate"/>
    </w:r>
    <w:r w:rsidR="00995125">
      <w:rPr>
        <w:rFonts w:cs="Arial"/>
        <w:b/>
        <w:bCs/>
        <w:szCs w:val="24"/>
      </w:rPr>
      <w:t>4</w:t>
    </w:r>
    <w:r w:rsidR="00995125" w:rsidRPr="00995125">
      <w:rPr>
        <w:rFonts w:cs="Arial"/>
        <w:b/>
        <w:bCs/>
        <w:szCs w:val="24"/>
      </w:rPr>
      <w:fldChar w:fldCharType="end"/>
    </w:r>
    <w:r w:rsidR="00995125" w:rsidRPr="00995125">
      <w:rPr>
        <w:rFonts w:cs="Arial"/>
      </w:rPr>
      <w:t xml:space="preserve"> of </w:t>
    </w:r>
    <w:r w:rsidR="00995125" w:rsidRPr="00995125">
      <w:rPr>
        <w:rFonts w:cs="Arial"/>
        <w:b/>
        <w:bCs/>
        <w:szCs w:val="24"/>
      </w:rPr>
      <w:fldChar w:fldCharType="begin"/>
    </w:r>
    <w:r w:rsidR="00995125" w:rsidRPr="00995125">
      <w:rPr>
        <w:rFonts w:cs="Arial"/>
        <w:b/>
        <w:bCs/>
      </w:rPr>
      <w:instrText xml:space="preserve"> NUMPAGES  </w:instrText>
    </w:r>
    <w:r w:rsidR="00995125" w:rsidRPr="00995125">
      <w:rPr>
        <w:rFonts w:cs="Arial"/>
        <w:b/>
        <w:bCs/>
        <w:szCs w:val="24"/>
      </w:rPr>
      <w:fldChar w:fldCharType="separate"/>
    </w:r>
    <w:r w:rsidR="00995125">
      <w:rPr>
        <w:rFonts w:cs="Arial"/>
        <w:b/>
        <w:bCs/>
        <w:szCs w:val="24"/>
      </w:rPr>
      <w:t>4</w:t>
    </w:r>
    <w:r w:rsidR="00995125"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D0A5F" w14:textId="77777777" w:rsidR="00324073" w:rsidRDefault="00324073">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8E870" w14:textId="77777777" w:rsidR="00902598" w:rsidRDefault="00902598" w:rsidP="00995125">
      <w:pPr>
        <w:spacing w:after="360" w:line="240" w:lineRule="auto"/>
      </w:pPr>
      <w:r>
        <w:separator/>
      </w:r>
    </w:p>
  </w:footnote>
  <w:footnote w:type="continuationSeparator" w:id="0">
    <w:p w14:paraId="463510E6" w14:textId="77777777" w:rsidR="00902598" w:rsidRDefault="00902598" w:rsidP="00995125">
      <w:pPr>
        <w:spacing w:after="360" w:line="240" w:lineRule="auto"/>
      </w:pPr>
      <w:r>
        <w:continuationSeparator/>
      </w:r>
    </w:p>
  </w:footnote>
  <w:footnote w:type="continuationNotice" w:id="1">
    <w:p w14:paraId="3BBB0929" w14:textId="77777777" w:rsidR="00902598" w:rsidRDefault="00902598">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5A79" w14:textId="77777777" w:rsidR="00324073" w:rsidRDefault="00324073">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7437" w14:textId="54147993" w:rsidR="00D1258B" w:rsidRDefault="00D1258B">
    <w:pPr>
      <w:pStyle w:val="Header"/>
      <w:spacing w:after="360"/>
      <w:rPr>
        <w:rFonts w:eastAsia="Calibri"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4F8E1" w14:textId="77777777" w:rsidR="00324073" w:rsidRDefault="00324073">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43EAE"/>
    <w:multiLevelType w:val="multilevel"/>
    <w:tmpl w:val="A542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240E0"/>
    <w:multiLevelType w:val="hybridMultilevel"/>
    <w:tmpl w:val="2D34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90E7C"/>
    <w:multiLevelType w:val="hybridMultilevel"/>
    <w:tmpl w:val="A3A46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9"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11"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846021"/>
    <w:multiLevelType w:val="multilevel"/>
    <w:tmpl w:val="121E56CE"/>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2653E98"/>
    <w:multiLevelType w:val="hybridMultilevel"/>
    <w:tmpl w:val="25766192"/>
    <w:lvl w:ilvl="0" w:tplc="9030F3AE">
      <w:start w:val="1"/>
      <w:numFmt w:val="bullet"/>
      <w:lvlText w:val=""/>
      <w:lvlJc w:val="left"/>
      <w:pPr>
        <w:ind w:left="360" w:hanging="360"/>
      </w:pPr>
      <w:rPr>
        <w:rFonts w:ascii="Symbol" w:hAnsi="Symbol" w:hint="default"/>
      </w:rPr>
    </w:lvl>
    <w:lvl w:ilvl="1" w:tplc="DDC8ED5E">
      <w:start w:val="1"/>
      <w:numFmt w:val="bullet"/>
      <w:lvlText w:val="o"/>
      <w:lvlJc w:val="left"/>
      <w:pPr>
        <w:ind w:left="1080" w:hanging="360"/>
      </w:pPr>
      <w:rPr>
        <w:rFonts w:ascii="Courier New" w:hAnsi="Courier New" w:hint="default"/>
      </w:rPr>
    </w:lvl>
    <w:lvl w:ilvl="2" w:tplc="D828F144">
      <w:start w:val="1"/>
      <w:numFmt w:val="bullet"/>
      <w:lvlText w:val=""/>
      <w:lvlJc w:val="left"/>
      <w:pPr>
        <w:ind w:left="1800" w:hanging="360"/>
      </w:pPr>
      <w:rPr>
        <w:rFonts w:ascii="Wingdings" w:hAnsi="Wingdings" w:hint="default"/>
      </w:rPr>
    </w:lvl>
    <w:lvl w:ilvl="3" w:tplc="70DAD8BC">
      <w:start w:val="1"/>
      <w:numFmt w:val="bullet"/>
      <w:lvlText w:val=""/>
      <w:lvlJc w:val="left"/>
      <w:pPr>
        <w:ind w:left="2520" w:hanging="360"/>
      </w:pPr>
      <w:rPr>
        <w:rFonts w:ascii="Symbol" w:hAnsi="Symbol" w:hint="default"/>
      </w:rPr>
    </w:lvl>
    <w:lvl w:ilvl="4" w:tplc="38603D82">
      <w:start w:val="1"/>
      <w:numFmt w:val="bullet"/>
      <w:lvlText w:val="o"/>
      <w:lvlJc w:val="left"/>
      <w:pPr>
        <w:ind w:left="3240" w:hanging="360"/>
      </w:pPr>
      <w:rPr>
        <w:rFonts w:ascii="Courier New" w:hAnsi="Courier New" w:hint="default"/>
      </w:rPr>
    </w:lvl>
    <w:lvl w:ilvl="5" w:tplc="02280AC4">
      <w:start w:val="1"/>
      <w:numFmt w:val="bullet"/>
      <w:lvlText w:val=""/>
      <w:lvlJc w:val="left"/>
      <w:pPr>
        <w:ind w:left="3960" w:hanging="360"/>
      </w:pPr>
      <w:rPr>
        <w:rFonts w:ascii="Wingdings" w:hAnsi="Wingdings" w:hint="default"/>
      </w:rPr>
    </w:lvl>
    <w:lvl w:ilvl="6" w:tplc="828CAD04">
      <w:start w:val="1"/>
      <w:numFmt w:val="bullet"/>
      <w:lvlText w:val=""/>
      <w:lvlJc w:val="left"/>
      <w:pPr>
        <w:ind w:left="4680" w:hanging="360"/>
      </w:pPr>
      <w:rPr>
        <w:rFonts w:ascii="Symbol" w:hAnsi="Symbol" w:hint="default"/>
      </w:rPr>
    </w:lvl>
    <w:lvl w:ilvl="7" w:tplc="F42E4560">
      <w:start w:val="1"/>
      <w:numFmt w:val="bullet"/>
      <w:lvlText w:val="o"/>
      <w:lvlJc w:val="left"/>
      <w:pPr>
        <w:ind w:left="5400" w:hanging="360"/>
      </w:pPr>
      <w:rPr>
        <w:rFonts w:ascii="Courier New" w:hAnsi="Courier New" w:hint="default"/>
      </w:rPr>
    </w:lvl>
    <w:lvl w:ilvl="8" w:tplc="E9588936">
      <w:start w:val="1"/>
      <w:numFmt w:val="bullet"/>
      <w:lvlText w:val=""/>
      <w:lvlJc w:val="left"/>
      <w:pPr>
        <w:ind w:left="6120" w:hanging="360"/>
      </w:pPr>
      <w:rPr>
        <w:rFonts w:ascii="Wingdings" w:hAnsi="Wingdings" w:hint="default"/>
      </w:rPr>
    </w:lvl>
  </w:abstractNum>
  <w:abstractNum w:abstractNumId="14" w15:restartNumberingAfterBreak="0">
    <w:nsid w:val="5CEE6642"/>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DD15F03"/>
    <w:multiLevelType w:val="hybridMultilevel"/>
    <w:tmpl w:val="9EB410DC"/>
    <w:lvl w:ilvl="0" w:tplc="08090001">
      <w:start w:val="1"/>
      <w:numFmt w:val="bullet"/>
      <w:lvlText w:val=""/>
      <w:lvlJc w:val="left"/>
      <w:pPr>
        <w:ind w:left="-60" w:hanging="360"/>
      </w:pPr>
      <w:rPr>
        <w:rFonts w:ascii="Symbol" w:hAnsi="Symbol" w:hint="default"/>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16"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DF009B"/>
    <w:multiLevelType w:val="hybridMultilevel"/>
    <w:tmpl w:val="C7580364"/>
    <w:lvl w:ilvl="0" w:tplc="E93AFD36">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96581B"/>
    <w:multiLevelType w:val="hybridMultilevel"/>
    <w:tmpl w:val="B8C0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B765EE"/>
    <w:multiLevelType w:val="hybridMultilevel"/>
    <w:tmpl w:val="2E46B54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2" w15:restartNumberingAfterBreak="0">
    <w:nsid w:val="713A1C4C"/>
    <w:multiLevelType w:val="hybridMultilevel"/>
    <w:tmpl w:val="A9106D46"/>
    <w:lvl w:ilvl="0" w:tplc="08090001">
      <w:start w:val="1"/>
      <w:numFmt w:val="bullet"/>
      <w:lvlText w:val=""/>
      <w:lvlJc w:val="left"/>
      <w:pPr>
        <w:ind w:left="-1680" w:hanging="360"/>
      </w:pPr>
      <w:rPr>
        <w:rFonts w:ascii="Symbol" w:hAnsi="Symbol" w:hint="default"/>
      </w:rPr>
    </w:lvl>
    <w:lvl w:ilvl="1" w:tplc="08090003">
      <w:start w:val="1"/>
      <w:numFmt w:val="bullet"/>
      <w:lvlText w:val="o"/>
      <w:lvlJc w:val="left"/>
      <w:pPr>
        <w:ind w:left="-960" w:hanging="360"/>
      </w:pPr>
      <w:rPr>
        <w:rFonts w:ascii="Courier New" w:hAnsi="Courier New" w:cs="Courier New" w:hint="default"/>
      </w:rPr>
    </w:lvl>
    <w:lvl w:ilvl="2" w:tplc="08090005">
      <w:start w:val="1"/>
      <w:numFmt w:val="bullet"/>
      <w:lvlText w:val=""/>
      <w:lvlJc w:val="left"/>
      <w:pPr>
        <w:ind w:left="-240" w:hanging="360"/>
      </w:pPr>
      <w:rPr>
        <w:rFonts w:ascii="Wingdings" w:hAnsi="Wingdings" w:hint="default"/>
      </w:rPr>
    </w:lvl>
    <w:lvl w:ilvl="3" w:tplc="08090001">
      <w:start w:val="1"/>
      <w:numFmt w:val="bullet"/>
      <w:lvlText w:val=""/>
      <w:lvlJc w:val="left"/>
      <w:pPr>
        <w:ind w:left="480" w:hanging="360"/>
      </w:pPr>
      <w:rPr>
        <w:rFonts w:ascii="Symbol" w:hAnsi="Symbol" w:hint="default"/>
      </w:rPr>
    </w:lvl>
    <w:lvl w:ilvl="4" w:tplc="08090003" w:tentative="1">
      <w:start w:val="1"/>
      <w:numFmt w:val="bullet"/>
      <w:lvlText w:val="o"/>
      <w:lvlJc w:val="left"/>
      <w:pPr>
        <w:ind w:left="1200" w:hanging="360"/>
      </w:pPr>
      <w:rPr>
        <w:rFonts w:ascii="Courier New" w:hAnsi="Courier New" w:cs="Courier New" w:hint="default"/>
      </w:rPr>
    </w:lvl>
    <w:lvl w:ilvl="5" w:tplc="08090005" w:tentative="1">
      <w:start w:val="1"/>
      <w:numFmt w:val="bullet"/>
      <w:lvlText w:val=""/>
      <w:lvlJc w:val="left"/>
      <w:pPr>
        <w:ind w:left="1920" w:hanging="360"/>
      </w:pPr>
      <w:rPr>
        <w:rFonts w:ascii="Wingdings" w:hAnsi="Wingdings" w:hint="default"/>
      </w:rPr>
    </w:lvl>
    <w:lvl w:ilvl="6" w:tplc="08090001" w:tentative="1">
      <w:start w:val="1"/>
      <w:numFmt w:val="bullet"/>
      <w:lvlText w:val=""/>
      <w:lvlJc w:val="left"/>
      <w:pPr>
        <w:ind w:left="2640" w:hanging="360"/>
      </w:pPr>
      <w:rPr>
        <w:rFonts w:ascii="Symbol" w:hAnsi="Symbol" w:hint="default"/>
      </w:rPr>
    </w:lvl>
    <w:lvl w:ilvl="7" w:tplc="08090003" w:tentative="1">
      <w:start w:val="1"/>
      <w:numFmt w:val="bullet"/>
      <w:lvlText w:val="o"/>
      <w:lvlJc w:val="left"/>
      <w:pPr>
        <w:ind w:left="3360" w:hanging="360"/>
      </w:pPr>
      <w:rPr>
        <w:rFonts w:ascii="Courier New" w:hAnsi="Courier New" w:cs="Courier New" w:hint="default"/>
      </w:rPr>
    </w:lvl>
    <w:lvl w:ilvl="8" w:tplc="08090005" w:tentative="1">
      <w:start w:val="1"/>
      <w:numFmt w:val="bullet"/>
      <w:lvlText w:val=""/>
      <w:lvlJc w:val="left"/>
      <w:pPr>
        <w:ind w:left="4080" w:hanging="360"/>
      </w:pPr>
      <w:rPr>
        <w:rFonts w:ascii="Wingdings" w:hAnsi="Wingdings" w:hint="default"/>
      </w:rPr>
    </w:lvl>
  </w:abstractNum>
  <w:num w:numId="1" w16cid:durableId="574247619">
    <w:abstractNumId w:val="4"/>
  </w:num>
  <w:num w:numId="2" w16cid:durableId="956595059">
    <w:abstractNumId w:val="2"/>
  </w:num>
  <w:num w:numId="3" w16cid:durableId="1300526467">
    <w:abstractNumId w:val="16"/>
  </w:num>
  <w:num w:numId="4" w16cid:durableId="1757970198">
    <w:abstractNumId w:val="19"/>
  </w:num>
  <w:num w:numId="5" w16cid:durableId="1297486821">
    <w:abstractNumId w:val="8"/>
  </w:num>
  <w:num w:numId="6" w16cid:durableId="1866482495">
    <w:abstractNumId w:val="11"/>
  </w:num>
  <w:num w:numId="7" w16cid:durableId="197399505">
    <w:abstractNumId w:val="0"/>
  </w:num>
  <w:num w:numId="8" w16cid:durableId="1772243417">
    <w:abstractNumId w:val="17"/>
  </w:num>
  <w:num w:numId="9" w16cid:durableId="1058241396">
    <w:abstractNumId w:val="7"/>
  </w:num>
  <w:num w:numId="10" w16cid:durableId="1978290763">
    <w:abstractNumId w:val="10"/>
  </w:num>
  <w:num w:numId="11" w16cid:durableId="1044063571">
    <w:abstractNumId w:val="1"/>
  </w:num>
  <w:num w:numId="12" w16cid:durableId="259988657">
    <w:abstractNumId w:val="9"/>
  </w:num>
  <w:num w:numId="13" w16cid:durableId="1863588581">
    <w:abstractNumId w:val="12"/>
  </w:num>
  <w:num w:numId="14" w16cid:durableId="1786122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34498">
    <w:abstractNumId w:val="18"/>
  </w:num>
  <w:num w:numId="16" w16cid:durableId="85738857">
    <w:abstractNumId w:val="20"/>
  </w:num>
  <w:num w:numId="17" w16cid:durableId="2023629836">
    <w:abstractNumId w:val="21"/>
  </w:num>
  <w:num w:numId="18" w16cid:durableId="521748133">
    <w:abstractNumId w:val="22"/>
  </w:num>
  <w:num w:numId="19" w16cid:durableId="843518933">
    <w:abstractNumId w:val="13"/>
  </w:num>
  <w:num w:numId="20" w16cid:durableId="274530660">
    <w:abstractNumId w:val="15"/>
  </w:num>
  <w:num w:numId="21" w16cid:durableId="2090034141">
    <w:abstractNumId w:val="5"/>
  </w:num>
  <w:num w:numId="22" w16cid:durableId="1203859672">
    <w:abstractNumId w:val="6"/>
  </w:num>
  <w:num w:numId="23" w16cid:durableId="414936531">
    <w:abstractNumId w:val="14"/>
  </w:num>
  <w:num w:numId="24" w16cid:durableId="1789155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931"/>
    <w:rsid w:val="000138B4"/>
    <w:rsid w:val="000145B6"/>
    <w:rsid w:val="0001600E"/>
    <w:rsid w:val="000165AD"/>
    <w:rsid w:val="00016C83"/>
    <w:rsid w:val="00020347"/>
    <w:rsid w:val="00027D6A"/>
    <w:rsid w:val="000343A3"/>
    <w:rsid w:val="00034B8A"/>
    <w:rsid w:val="000366A1"/>
    <w:rsid w:val="000520AB"/>
    <w:rsid w:val="00057336"/>
    <w:rsid w:val="000626BB"/>
    <w:rsid w:val="00072074"/>
    <w:rsid w:val="000740C6"/>
    <w:rsid w:val="00075329"/>
    <w:rsid w:val="000933BA"/>
    <w:rsid w:val="00095C46"/>
    <w:rsid w:val="00097E5F"/>
    <w:rsid w:val="000A5979"/>
    <w:rsid w:val="000A750A"/>
    <w:rsid w:val="000B070E"/>
    <w:rsid w:val="000B3666"/>
    <w:rsid w:val="000B7C72"/>
    <w:rsid w:val="000C0F94"/>
    <w:rsid w:val="000C38DA"/>
    <w:rsid w:val="000C5942"/>
    <w:rsid w:val="000C6071"/>
    <w:rsid w:val="000D1650"/>
    <w:rsid w:val="000E3D36"/>
    <w:rsid w:val="000E5F3B"/>
    <w:rsid w:val="000F5008"/>
    <w:rsid w:val="000F6514"/>
    <w:rsid w:val="000F6BD8"/>
    <w:rsid w:val="001078F5"/>
    <w:rsid w:val="00113565"/>
    <w:rsid w:val="00117274"/>
    <w:rsid w:val="0012644B"/>
    <w:rsid w:val="00130155"/>
    <w:rsid w:val="00132CDE"/>
    <w:rsid w:val="00134D9A"/>
    <w:rsid w:val="00134EA8"/>
    <w:rsid w:val="00135E76"/>
    <w:rsid w:val="00136C97"/>
    <w:rsid w:val="0014152E"/>
    <w:rsid w:val="00142BCF"/>
    <w:rsid w:val="00145E4F"/>
    <w:rsid w:val="00154930"/>
    <w:rsid w:val="0016348C"/>
    <w:rsid w:val="00167A87"/>
    <w:rsid w:val="00173680"/>
    <w:rsid w:val="0018034B"/>
    <w:rsid w:val="0018532F"/>
    <w:rsid w:val="00191F49"/>
    <w:rsid w:val="00192226"/>
    <w:rsid w:val="00196FCD"/>
    <w:rsid w:val="00197D6A"/>
    <w:rsid w:val="001A0C1A"/>
    <w:rsid w:val="001A15C0"/>
    <w:rsid w:val="001A5075"/>
    <w:rsid w:val="001A5319"/>
    <w:rsid w:val="001B0E06"/>
    <w:rsid w:val="001C137B"/>
    <w:rsid w:val="001C6D16"/>
    <w:rsid w:val="001C76B8"/>
    <w:rsid w:val="001C7728"/>
    <w:rsid w:val="001D5ED9"/>
    <w:rsid w:val="001E24B2"/>
    <w:rsid w:val="001E25FC"/>
    <w:rsid w:val="001E262B"/>
    <w:rsid w:val="001E3792"/>
    <w:rsid w:val="001F0161"/>
    <w:rsid w:val="001F3E3A"/>
    <w:rsid w:val="001F4C1D"/>
    <w:rsid w:val="002020C6"/>
    <w:rsid w:val="002047F1"/>
    <w:rsid w:val="0020697F"/>
    <w:rsid w:val="00220C0C"/>
    <w:rsid w:val="00220E80"/>
    <w:rsid w:val="00220FED"/>
    <w:rsid w:val="002232AC"/>
    <w:rsid w:val="00224510"/>
    <w:rsid w:val="00225ACE"/>
    <w:rsid w:val="00226B1B"/>
    <w:rsid w:val="002317CE"/>
    <w:rsid w:val="00232598"/>
    <w:rsid w:val="00233467"/>
    <w:rsid w:val="00237716"/>
    <w:rsid w:val="002412A0"/>
    <w:rsid w:val="00244F1D"/>
    <w:rsid w:val="00247DEC"/>
    <w:rsid w:val="00256C28"/>
    <w:rsid w:val="002570CE"/>
    <w:rsid w:val="002575C8"/>
    <w:rsid w:val="002677EA"/>
    <w:rsid w:val="002734BA"/>
    <w:rsid w:val="0027538A"/>
    <w:rsid w:val="0027737B"/>
    <w:rsid w:val="00280576"/>
    <w:rsid w:val="00283171"/>
    <w:rsid w:val="00287857"/>
    <w:rsid w:val="0029603B"/>
    <w:rsid w:val="002960BF"/>
    <w:rsid w:val="002967E2"/>
    <w:rsid w:val="00297078"/>
    <w:rsid w:val="002B6E11"/>
    <w:rsid w:val="002C4AFB"/>
    <w:rsid w:val="002C765E"/>
    <w:rsid w:val="002C7765"/>
    <w:rsid w:val="002D4EA9"/>
    <w:rsid w:val="002D4FC9"/>
    <w:rsid w:val="002D67AD"/>
    <w:rsid w:val="002E0B60"/>
    <w:rsid w:val="002E1568"/>
    <w:rsid w:val="003015BF"/>
    <w:rsid w:val="003021B0"/>
    <w:rsid w:val="00302FE9"/>
    <w:rsid w:val="00306A40"/>
    <w:rsid w:val="00313A37"/>
    <w:rsid w:val="00316EEE"/>
    <w:rsid w:val="003220ED"/>
    <w:rsid w:val="00323243"/>
    <w:rsid w:val="00324073"/>
    <w:rsid w:val="0033498F"/>
    <w:rsid w:val="00336B82"/>
    <w:rsid w:val="003370E2"/>
    <w:rsid w:val="0034013E"/>
    <w:rsid w:val="003440D9"/>
    <w:rsid w:val="00353975"/>
    <w:rsid w:val="00354952"/>
    <w:rsid w:val="00355B82"/>
    <w:rsid w:val="00355C34"/>
    <w:rsid w:val="003603DE"/>
    <w:rsid w:val="00360CF1"/>
    <w:rsid w:val="003613D1"/>
    <w:rsid w:val="00364777"/>
    <w:rsid w:val="003705E2"/>
    <w:rsid w:val="00373114"/>
    <w:rsid w:val="0037666D"/>
    <w:rsid w:val="0039227B"/>
    <w:rsid w:val="0039389F"/>
    <w:rsid w:val="00394265"/>
    <w:rsid w:val="00394B7A"/>
    <w:rsid w:val="003A0ED1"/>
    <w:rsid w:val="003A1D44"/>
    <w:rsid w:val="003A1D5A"/>
    <w:rsid w:val="003A4135"/>
    <w:rsid w:val="003A460C"/>
    <w:rsid w:val="003B165D"/>
    <w:rsid w:val="003B2846"/>
    <w:rsid w:val="003B5883"/>
    <w:rsid w:val="003B670F"/>
    <w:rsid w:val="003C72D2"/>
    <w:rsid w:val="003C743F"/>
    <w:rsid w:val="003D6CBE"/>
    <w:rsid w:val="003D76CF"/>
    <w:rsid w:val="003E6E16"/>
    <w:rsid w:val="003F0008"/>
    <w:rsid w:val="003F0DAB"/>
    <w:rsid w:val="003F123D"/>
    <w:rsid w:val="003F286F"/>
    <w:rsid w:val="003F4BD4"/>
    <w:rsid w:val="003F63B6"/>
    <w:rsid w:val="00400B4B"/>
    <w:rsid w:val="00404D65"/>
    <w:rsid w:val="0040613C"/>
    <w:rsid w:val="00410FB0"/>
    <w:rsid w:val="00412499"/>
    <w:rsid w:val="00423A38"/>
    <w:rsid w:val="00426842"/>
    <w:rsid w:val="004278B6"/>
    <w:rsid w:val="00430327"/>
    <w:rsid w:val="00432DDD"/>
    <w:rsid w:val="00440AE4"/>
    <w:rsid w:val="00442D59"/>
    <w:rsid w:val="00443FB9"/>
    <w:rsid w:val="004707B4"/>
    <w:rsid w:val="00470940"/>
    <w:rsid w:val="00471BF7"/>
    <w:rsid w:val="0047219A"/>
    <w:rsid w:val="00473A98"/>
    <w:rsid w:val="0047708F"/>
    <w:rsid w:val="00482823"/>
    <w:rsid w:val="00486A51"/>
    <w:rsid w:val="00487526"/>
    <w:rsid w:val="00493581"/>
    <w:rsid w:val="004A33DD"/>
    <w:rsid w:val="004A41BB"/>
    <w:rsid w:val="004B6A73"/>
    <w:rsid w:val="004B7640"/>
    <w:rsid w:val="004C0197"/>
    <w:rsid w:val="004C2F11"/>
    <w:rsid w:val="004C3568"/>
    <w:rsid w:val="004C62E8"/>
    <w:rsid w:val="004D5CA2"/>
    <w:rsid w:val="004E27A0"/>
    <w:rsid w:val="004E62AC"/>
    <w:rsid w:val="004F10A7"/>
    <w:rsid w:val="004F45A3"/>
    <w:rsid w:val="004F668E"/>
    <w:rsid w:val="00506E4C"/>
    <w:rsid w:val="00512D17"/>
    <w:rsid w:val="00515B2C"/>
    <w:rsid w:val="0051A448"/>
    <w:rsid w:val="00530611"/>
    <w:rsid w:val="00536FFE"/>
    <w:rsid w:val="00537F4A"/>
    <w:rsid w:val="00540AEC"/>
    <w:rsid w:val="00544B1E"/>
    <w:rsid w:val="00550EB9"/>
    <w:rsid w:val="00553476"/>
    <w:rsid w:val="0055488F"/>
    <w:rsid w:val="00557FDC"/>
    <w:rsid w:val="00557FF7"/>
    <w:rsid w:val="00566EC3"/>
    <w:rsid w:val="00567247"/>
    <w:rsid w:val="00567652"/>
    <w:rsid w:val="00567757"/>
    <w:rsid w:val="0058446E"/>
    <w:rsid w:val="00585E63"/>
    <w:rsid w:val="00586B8A"/>
    <w:rsid w:val="005957EF"/>
    <w:rsid w:val="005A2812"/>
    <w:rsid w:val="005A4965"/>
    <w:rsid w:val="005A70BB"/>
    <w:rsid w:val="005B3ED0"/>
    <w:rsid w:val="005C21F6"/>
    <w:rsid w:val="005C2EEC"/>
    <w:rsid w:val="005C2F51"/>
    <w:rsid w:val="005D0087"/>
    <w:rsid w:val="005D01DA"/>
    <w:rsid w:val="005D1BE8"/>
    <w:rsid w:val="005E13B5"/>
    <w:rsid w:val="005E46AA"/>
    <w:rsid w:val="005E60CF"/>
    <w:rsid w:val="005F00BC"/>
    <w:rsid w:val="005F0601"/>
    <w:rsid w:val="005F12A3"/>
    <w:rsid w:val="005F3AED"/>
    <w:rsid w:val="00600A18"/>
    <w:rsid w:val="0060366E"/>
    <w:rsid w:val="006037CB"/>
    <w:rsid w:val="00603F70"/>
    <w:rsid w:val="006051AC"/>
    <w:rsid w:val="00625263"/>
    <w:rsid w:val="006260AA"/>
    <w:rsid w:val="00631525"/>
    <w:rsid w:val="006352BF"/>
    <w:rsid w:val="00646190"/>
    <w:rsid w:val="0065131A"/>
    <w:rsid w:val="0065267F"/>
    <w:rsid w:val="00653D6D"/>
    <w:rsid w:val="00655790"/>
    <w:rsid w:val="00655D6C"/>
    <w:rsid w:val="00664660"/>
    <w:rsid w:val="00666261"/>
    <w:rsid w:val="00673138"/>
    <w:rsid w:val="00675848"/>
    <w:rsid w:val="006777AF"/>
    <w:rsid w:val="0067781E"/>
    <w:rsid w:val="0068057B"/>
    <w:rsid w:val="0068061F"/>
    <w:rsid w:val="0068273B"/>
    <w:rsid w:val="00685523"/>
    <w:rsid w:val="00687C04"/>
    <w:rsid w:val="006970BD"/>
    <w:rsid w:val="006971A8"/>
    <w:rsid w:val="006A354E"/>
    <w:rsid w:val="006A45DE"/>
    <w:rsid w:val="006A649A"/>
    <w:rsid w:val="006A7BBD"/>
    <w:rsid w:val="006B46D9"/>
    <w:rsid w:val="006C0315"/>
    <w:rsid w:val="006C165F"/>
    <w:rsid w:val="006C211A"/>
    <w:rsid w:val="006C3601"/>
    <w:rsid w:val="006D069C"/>
    <w:rsid w:val="006D084E"/>
    <w:rsid w:val="006E7753"/>
    <w:rsid w:val="007023A7"/>
    <w:rsid w:val="0071233E"/>
    <w:rsid w:val="00720BF3"/>
    <w:rsid w:val="007219B9"/>
    <w:rsid w:val="007242A3"/>
    <w:rsid w:val="007300BF"/>
    <w:rsid w:val="0073071F"/>
    <w:rsid w:val="00746B30"/>
    <w:rsid w:val="00752B02"/>
    <w:rsid w:val="00754236"/>
    <w:rsid w:val="00755188"/>
    <w:rsid w:val="00757617"/>
    <w:rsid w:val="0076139F"/>
    <w:rsid w:val="00766B25"/>
    <w:rsid w:val="00773678"/>
    <w:rsid w:val="00774342"/>
    <w:rsid w:val="00782634"/>
    <w:rsid w:val="00782E19"/>
    <w:rsid w:val="007847C3"/>
    <w:rsid w:val="0079140D"/>
    <w:rsid w:val="0079617D"/>
    <w:rsid w:val="007A3C82"/>
    <w:rsid w:val="007C6B21"/>
    <w:rsid w:val="007D6829"/>
    <w:rsid w:val="007D6A42"/>
    <w:rsid w:val="007E0DA0"/>
    <w:rsid w:val="007E3338"/>
    <w:rsid w:val="008006AB"/>
    <w:rsid w:val="00804AD0"/>
    <w:rsid w:val="008057CE"/>
    <w:rsid w:val="00805910"/>
    <w:rsid w:val="00815C62"/>
    <w:rsid w:val="00821FB2"/>
    <w:rsid w:val="00824258"/>
    <w:rsid w:val="00824D03"/>
    <w:rsid w:val="008333F3"/>
    <w:rsid w:val="008500C8"/>
    <w:rsid w:val="00851120"/>
    <w:rsid w:val="0085514D"/>
    <w:rsid w:val="00856148"/>
    <w:rsid w:val="00856328"/>
    <w:rsid w:val="00860F48"/>
    <w:rsid w:val="00865E3A"/>
    <w:rsid w:val="0088110A"/>
    <w:rsid w:val="008861CC"/>
    <w:rsid w:val="008927F2"/>
    <w:rsid w:val="00893EFF"/>
    <w:rsid w:val="0089553F"/>
    <w:rsid w:val="008A439C"/>
    <w:rsid w:val="008A5BB7"/>
    <w:rsid w:val="008A638E"/>
    <w:rsid w:val="008B6459"/>
    <w:rsid w:val="008C0067"/>
    <w:rsid w:val="008C0B0C"/>
    <w:rsid w:val="008C0DD3"/>
    <w:rsid w:val="008C1616"/>
    <w:rsid w:val="008C7871"/>
    <w:rsid w:val="008C78D5"/>
    <w:rsid w:val="008D1B20"/>
    <w:rsid w:val="008D2874"/>
    <w:rsid w:val="008D29FE"/>
    <w:rsid w:val="008E35B9"/>
    <w:rsid w:val="008E692A"/>
    <w:rsid w:val="008F0FE9"/>
    <w:rsid w:val="00902598"/>
    <w:rsid w:val="00902973"/>
    <w:rsid w:val="00905842"/>
    <w:rsid w:val="00907F1C"/>
    <w:rsid w:val="0091000D"/>
    <w:rsid w:val="00913C75"/>
    <w:rsid w:val="009178F1"/>
    <w:rsid w:val="00920D9C"/>
    <w:rsid w:val="0092413D"/>
    <w:rsid w:val="00926889"/>
    <w:rsid w:val="0092777E"/>
    <w:rsid w:val="00934878"/>
    <w:rsid w:val="009411FC"/>
    <w:rsid w:val="00950CDE"/>
    <w:rsid w:val="00952591"/>
    <w:rsid w:val="00954E8E"/>
    <w:rsid w:val="009647D5"/>
    <w:rsid w:val="00981560"/>
    <w:rsid w:val="00981639"/>
    <w:rsid w:val="0098246D"/>
    <w:rsid w:val="00994236"/>
    <w:rsid w:val="00995125"/>
    <w:rsid w:val="009A76CD"/>
    <w:rsid w:val="009B0B69"/>
    <w:rsid w:val="009B3D73"/>
    <w:rsid w:val="009C1B37"/>
    <w:rsid w:val="009C2128"/>
    <w:rsid w:val="009C4821"/>
    <w:rsid w:val="009C7245"/>
    <w:rsid w:val="009C7273"/>
    <w:rsid w:val="009D2100"/>
    <w:rsid w:val="009D4723"/>
    <w:rsid w:val="009E0DD2"/>
    <w:rsid w:val="009E36C0"/>
    <w:rsid w:val="009E57AA"/>
    <w:rsid w:val="009F5B38"/>
    <w:rsid w:val="00A019DC"/>
    <w:rsid w:val="00A13413"/>
    <w:rsid w:val="00A224AC"/>
    <w:rsid w:val="00A24FD4"/>
    <w:rsid w:val="00A3139B"/>
    <w:rsid w:val="00A3253E"/>
    <w:rsid w:val="00A377B0"/>
    <w:rsid w:val="00A40A26"/>
    <w:rsid w:val="00A43120"/>
    <w:rsid w:val="00A4725C"/>
    <w:rsid w:val="00A5056A"/>
    <w:rsid w:val="00A537B2"/>
    <w:rsid w:val="00A53D8E"/>
    <w:rsid w:val="00A62197"/>
    <w:rsid w:val="00A70ACF"/>
    <w:rsid w:val="00A72B77"/>
    <w:rsid w:val="00A809E6"/>
    <w:rsid w:val="00A815BC"/>
    <w:rsid w:val="00A81751"/>
    <w:rsid w:val="00A83044"/>
    <w:rsid w:val="00A853F4"/>
    <w:rsid w:val="00A87CEA"/>
    <w:rsid w:val="00A947FF"/>
    <w:rsid w:val="00A95088"/>
    <w:rsid w:val="00A97CCC"/>
    <w:rsid w:val="00A97EF3"/>
    <w:rsid w:val="00AA486D"/>
    <w:rsid w:val="00AA5CAD"/>
    <w:rsid w:val="00AB4EF2"/>
    <w:rsid w:val="00AB75C7"/>
    <w:rsid w:val="00AC1E20"/>
    <w:rsid w:val="00AC58CE"/>
    <w:rsid w:val="00AE0D3A"/>
    <w:rsid w:val="00AE12C0"/>
    <w:rsid w:val="00AF03BB"/>
    <w:rsid w:val="00AF39C0"/>
    <w:rsid w:val="00AF46B5"/>
    <w:rsid w:val="00AF5924"/>
    <w:rsid w:val="00AF6AD8"/>
    <w:rsid w:val="00B01DC6"/>
    <w:rsid w:val="00B03398"/>
    <w:rsid w:val="00B05F25"/>
    <w:rsid w:val="00B0756C"/>
    <w:rsid w:val="00B10205"/>
    <w:rsid w:val="00B11B29"/>
    <w:rsid w:val="00B12D15"/>
    <w:rsid w:val="00B13742"/>
    <w:rsid w:val="00B168FA"/>
    <w:rsid w:val="00B224A3"/>
    <w:rsid w:val="00B26431"/>
    <w:rsid w:val="00B373F5"/>
    <w:rsid w:val="00B40C66"/>
    <w:rsid w:val="00B40F5F"/>
    <w:rsid w:val="00B454CF"/>
    <w:rsid w:val="00B541F1"/>
    <w:rsid w:val="00B57462"/>
    <w:rsid w:val="00B63A9C"/>
    <w:rsid w:val="00B6613F"/>
    <w:rsid w:val="00B706C8"/>
    <w:rsid w:val="00B7216D"/>
    <w:rsid w:val="00B76AAC"/>
    <w:rsid w:val="00B80DB6"/>
    <w:rsid w:val="00B90B11"/>
    <w:rsid w:val="00B91761"/>
    <w:rsid w:val="00B93811"/>
    <w:rsid w:val="00B97C1C"/>
    <w:rsid w:val="00BA15F2"/>
    <w:rsid w:val="00BA3F89"/>
    <w:rsid w:val="00BA4D81"/>
    <w:rsid w:val="00BA4F4E"/>
    <w:rsid w:val="00BA7586"/>
    <w:rsid w:val="00BB0B98"/>
    <w:rsid w:val="00BB0C31"/>
    <w:rsid w:val="00BB309E"/>
    <w:rsid w:val="00BB349E"/>
    <w:rsid w:val="00BC32DA"/>
    <w:rsid w:val="00BC7AEA"/>
    <w:rsid w:val="00BD0DBC"/>
    <w:rsid w:val="00BD19CC"/>
    <w:rsid w:val="00BD3928"/>
    <w:rsid w:val="00BD3F32"/>
    <w:rsid w:val="00BD4435"/>
    <w:rsid w:val="00BD5A56"/>
    <w:rsid w:val="00BD71A6"/>
    <w:rsid w:val="00BE4B06"/>
    <w:rsid w:val="00BE5158"/>
    <w:rsid w:val="00BF1A3D"/>
    <w:rsid w:val="00BF3D55"/>
    <w:rsid w:val="00BF6901"/>
    <w:rsid w:val="00BF6BEC"/>
    <w:rsid w:val="00C00D42"/>
    <w:rsid w:val="00C01573"/>
    <w:rsid w:val="00C0767F"/>
    <w:rsid w:val="00C15887"/>
    <w:rsid w:val="00C164F8"/>
    <w:rsid w:val="00C237AB"/>
    <w:rsid w:val="00C32754"/>
    <w:rsid w:val="00C32B44"/>
    <w:rsid w:val="00C35BA2"/>
    <w:rsid w:val="00C35FF1"/>
    <w:rsid w:val="00C37067"/>
    <w:rsid w:val="00C40D25"/>
    <w:rsid w:val="00C428FA"/>
    <w:rsid w:val="00C46053"/>
    <w:rsid w:val="00C51758"/>
    <w:rsid w:val="00C544E7"/>
    <w:rsid w:val="00C5469A"/>
    <w:rsid w:val="00C6648A"/>
    <w:rsid w:val="00C856FD"/>
    <w:rsid w:val="00C87063"/>
    <w:rsid w:val="00C87617"/>
    <w:rsid w:val="00C900CD"/>
    <w:rsid w:val="00C904A0"/>
    <w:rsid w:val="00C939B4"/>
    <w:rsid w:val="00CA478B"/>
    <w:rsid w:val="00CA7EC0"/>
    <w:rsid w:val="00CB5907"/>
    <w:rsid w:val="00CC24C6"/>
    <w:rsid w:val="00CC6F33"/>
    <w:rsid w:val="00CD1F21"/>
    <w:rsid w:val="00CD4E52"/>
    <w:rsid w:val="00CD67D1"/>
    <w:rsid w:val="00CE11CF"/>
    <w:rsid w:val="00CE23F7"/>
    <w:rsid w:val="00CF4699"/>
    <w:rsid w:val="00D04464"/>
    <w:rsid w:val="00D078B4"/>
    <w:rsid w:val="00D07B7A"/>
    <w:rsid w:val="00D07C52"/>
    <w:rsid w:val="00D1258B"/>
    <w:rsid w:val="00D15FF3"/>
    <w:rsid w:val="00D2436D"/>
    <w:rsid w:val="00D327AE"/>
    <w:rsid w:val="00D33D6A"/>
    <w:rsid w:val="00D33F47"/>
    <w:rsid w:val="00D35C80"/>
    <w:rsid w:val="00D36BF7"/>
    <w:rsid w:val="00D4249E"/>
    <w:rsid w:val="00D46059"/>
    <w:rsid w:val="00D46248"/>
    <w:rsid w:val="00D57903"/>
    <w:rsid w:val="00D60A5E"/>
    <w:rsid w:val="00D667D8"/>
    <w:rsid w:val="00D70491"/>
    <w:rsid w:val="00D803C9"/>
    <w:rsid w:val="00D81D63"/>
    <w:rsid w:val="00D83B02"/>
    <w:rsid w:val="00D912E4"/>
    <w:rsid w:val="00DA5733"/>
    <w:rsid w:val="00DA67E2"/>
    <w:rsid w:val="00DB062C"/>
    <w:rsid w:val="00DB25E2"/>
    <w:rsid w:val="00DB2CB5"/>
    <w:rsid w:val="00DB3A40"/>
    <w:rsid w:val="00DC5F13"/>
    <w:rsid w:val="00DC6C99"/>
    <w:rsid w:val="00DD1538"/>
    <w:rsid w:val="00DD23DD"/>
    <w:rsid w:val="00DD60DA"/>
    <w:rsid w:val="00DD6693"/>
    <w:rsid w:val="00DE031F"/>
    <w:rsid w:val="00DE32B0"/>
    <w:rsid w:val="00DF0698"/>
    <w:rsid w:val="00DF1C91"/>
    <w:rsid w:val="00DF4488"/>
    <w:rsid w:val="00E007CB"/>
    <w:rsid w:val="00E00FB7"/>
    <w:rsid w:val="00E01BA2"/>
    <w:rsid w:val="00E11BBB"/>
    <w:rsid w:val="00E11E0D"/>
    <w:rsid w:val="00E11F11"/>
    <w:rsid w:val="00E16282"/>
    <w:rsid w:val="00E165DB"/>
    <w:rsid w:val="00E23F19"/>
    <w:rsid w:val="00E31710"/>
    <w:rsid w:val="00E37C8B"/>
    <w:rsid w:val="00E435AD"/>
    <w:rsid w:val="00E45E54"/>
    <w:rsid w:val="00E63C07"/>
    <w:rsid w:val="00E65E5E"/>
    <w:rsid w:val="00E714A2"/>
    <w:rsid w:val="00E7761D"/>
    <w:rsid w:val="00E807DB"/>
    <w:rsid w:val="00E808F2"/>
    <w:rsid w:val="00E86F5F"/>
    <w:rsid w:val="00E9159E"/>
    <w:rsid w:val="00E923CC"/>
    <w:rsid w:val="00E92AE0"/>
    <w:rsid w:val="00E93FC5"/>
    <w:rsid w:val="00E951B4"/>
    <w:rsid w:val="00E95C38"/>
    <w:rsid w:val="00E95D55"/>
    <w:rsid w:val="00E95F38"/>
    <w:rsid w:val="00E972D0"/>
    <w:rsid w:val="00E9771F"/>
    <w:rsid w:val="00EA114B"/>
    <w:rsid w:val="00EA2B20"/>
    <w:rsid w:val="00EA3BBB"/>
    <w:rsid w:val="00EA47F1"/>
    <w:rsid w:val="00EA77F2"/>
    <w:rsid w:val="00EC3AB2"/>
    <w:rsid w:val="00ED4CAF"/>
    <w:rsid w:val="00ED7CDF"/>
    <w:rsid w:val="00EE04A9"/>
    <w:rsid w:val="00EE2888"/>
    <w:rsid w:val="00EE7BC4"/>
    <w:rsid w:val="00EF09F6"/>
    <w:rsid w:val="00EF0FD0"/>
    <w:rsid w:val="00EF7928"/>
    <w:rsid w:val="00F02777"/>
    <w:rsid w:val="00F06389"/>
    <w:rsid w:val="00F063BA"/>
    <w:rsid w:val="00F07FE0"/>
    <w:rsid w:val="00F1444A"/>
    <w:rsid w:val="00F1749B"/>
    <w:rsid w:val="00F22168"/>
    <w:rsid w:val="00F22391"/>
    <w:rsid w:val="00F228FE"/>
    <w:rsid w:val="00F23954"/>
    <w:rsid w:val="00F26D35"/>
    <w:rsid w:val="00F2713B"/>
    <w:rsid w:val="00F277D5"/>
    <w:rsid w:val="00F34214"/>
    <w:rsid w:val="00F348D6"/>
    <w:rsid w:val="00F34D9A"/>
    <w:rsid w:val="00F524A9"/>
    <w:rsid w:val="00F6112B"/>
    <w:rsid w:val="00F713FD"/>
    <w:rsid w:val="00F7289D"/>
    <w:rsid w:val="00F80637"/>
    <w:rsid w:val="00F928CA"/>
    <w:rsid w:val="00F95EF8"/>
    <w:rsid w:val="00F96EEF"/>
    <w:rsid w:val="00FA503B"/>
    <w:rsid w:val="00FB0399"/>
    <w:rsid w:val="00FB04C5"/>
    <w:rsid w:val="00FB6A1F"/>
    <w:rsid w:val="00FC245A"/>
    <w:rsid w:val="00FC3B86"/>
    <w:rsid w:val="00FD0050"/>
    <w:rsid w:val="00FD3F48"/>
    <w:rsid w:val="00FD4F66"/>
    <w:rsid w:val="00FE316B"/>
    <w:rsid w:val="00FF2131"/>
    <w:rsid w:val="00FF2F40"/>
    <w:rsid w:val="00FF487A"/>
    <w:rsid w:val="011D60EC"/>
    <w:rsid w:val="02E97852"/>
    <w:rsid w:val="03B6A733"/>
    <w:rsid w:val="0465D305"/>
    <w:rsid w:val="056E3A3F"/>
    <w:rsid w:val="0927DB59"/>
    <w:rsid w:val="0930E5C1"/>
    <w:rsid w:val="0AFC8B07"/>
    <w:rsid w:val="0B36C043"/>
    <w:rsid w:val="0CA6F019"/>
    <w:rsid w:val="10D105AF"/>
    <w:rsid w:val="1565415F"/>
    <w:rsid w:val="165B6232"/>
    <w:rsid w:val="1719D576"/>
    <w:rsid w:val="19FF8E6D"/>
    <w:rsid w:val="1B1C393F"/>
    <w:rsid w:val="1C861D7B"/>
    <w:rsid w:val="1F6A68CA"/>
    <w:rsid w:val="1FD03090"/>
    <w:rsid w:val="20F376BA"/>
    <w:rsid w:val="23754A93"/>
    <w:rsid w:val="253C9558"/>
    <w:rsid w:val="2D73926D"/>
    <w:rsid w:val="3303878B"/>
    <w:rsid w:val="34511557"/>
    <w:rsid w:val="357386E8"/>
    <w:rsid w:val="36470E16"/>
    <w:rsid w:val="36C7B31F"/>
    <w:rsid w:val="3D5DFDD8"/>
    <w:rsid w:val="426EDE06"/>
    <w:rsid w:val="4283AF4A"/>
    <w:rsid w:val="45350C7E"/>
    <w:rsid w:val="45DA6CB6"/>
    <w:rsid w:val="50412D07"/>
    <w:rsid w:val="5413F57C"/>
    <w:rsid w:val="543E2873"/>
    <w:rsid w:val="5614D72E"/>
    <w:rsid w:val="57878194"/>
    <w:rsid w:val="5792065B"/>
    <w:rsid w:val="5CAA53A4"/>
    <w:rsid w:val="5CFF8E40"/>
    <w:rsid w:val="5E28740B"/>
    <w:rsid w:val="5EA1B795"/>
    <w:rsid w:val="5F676075"/>
    <w:rsid w:val="61C84F56"/>
    <w:rsid w:val="63024FE5"/>
    <w:rsid w:val="6387B20F"/>
    <w:rsid w:val="65307A6A"/>
    <w:rsid w:val="6580DBE0"/>
    <w:rsid w:val="67A4AF61"/>
    <w:rsid w:val="6BCBE7E9"/>
    <w:rsid w:val="6C638C07"/>
    <w:rsid w:val="701411A6"/>
    <w:rsid w:val="78A879F1"/>
    <w:rsid w:val="79164095"/>
    <w:rsid w:val="792F90AB"/>
    <w:rsid w:val="7AAF4E57"/>
    <w:rsid w:val="7AC747C4"/>
    <w:rsid w:val="7C446ED2"/>
    <w:rsid w:val="7C508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BA"/>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0"/>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14"/>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14"/>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14"/>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E6E16"/>
    <w:pPr>
      <w:keepNext/>
      <w:keepLines/>
      <w:numPr>
        <w:ilvl w:val="4"/>
        <w:numId w:val="14"/>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995125"/>
    <w:pPr>
      <w:numPr>
        <w:numId w:val="15"/>
      </w:numPr>
      <w:contextualSpacing/>
    </w:pPr>
  </w:style>
  <w:style w:type="table" w:styleId="TableGrid">
    <w:name w:val="Table Grid"/>
    <w:basedOn w:val="TableNormal"/>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2634"/>
    <w:pPr>
      <w:tabs>
        <w:tab w:val="left" w:pos="440"/>
        <w:tab w:val="right" w:leader="dot" w:pos="9016"/>
      </w:tabs>
      <w:spacing w:after="10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5E13B5"/>
    <w:pPr>
      <w:spacing w:after="10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13"/>
      </w:numPr>
    </w:pPr>
  </w:style>
  <w:style w:type="paragraph" w:styleId="TOC4">
    <w:name w:val="toc 4"/>
    <w:basedOn w:val="Normal"/>
    <w:next w:val="Normal"/>
    <w:autoRedefine/>
    <w:uiPriority w:val="39"/>
    <w:unhideWhenUsed/>
    <w:rsid w:val="00BD19CC"/>
    <w:pPr>
      <w:spacing w:after="100"/>
      <w:ind w:left="720"/>
    </w:pPr>
  </w:style>
  <w:style w:type="character" w:styleId="CommentReference">
    <w:name w:val="annotation reference"/>
    <w:basedOn w:val="DefaultParagraphFont"/>
    <w:uiPriority w:val="99"/>
    <w:semiHidden/>
    <w:unhideWhenUsed/>
    <w:rsid w:val="00B11B29"/>
    <w:rPr>
      <w:sz w:val="16"/>
      <w:szCs w:val="16"/>
    </w:rPr>
  </w:style>
  <w:style w:type="paragraph" w:styleId="CommentText">
    <w:name w:val="annotation text"/>
    <w:basedOn w:val="Normal"/>
    <w:link w:val="CommentTextChar"/>
    <w:uiPriority w:val="99"/>
    <w:unhideWhenUsed/>
    <w:rsid w:val="00B11B29"/>
    <w:pPr>
      <w:spacing w:line="240" w:lineRule="auto"/>
    </w:pPr>
    <w:rPr>
      <w:sz w:val="20"/>
      <w:szCs w:val="20"/>
    </w:rPr>
  </w:style>
  <w:style w:type="character" w:customStyle="1" w:styleId="CommentTextChar">
    <w:name w:val="Comment Text Char"/>
    <w:basedOn w:val="DefaultParagraphFont"/>
    <w:link w:val="CommentText"/>
    <w:uiPriority w:val="99"/>
    <w:rsid w:val="00B11B2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1B29"/>
    <w:rPr>
      <w:b/>
      <w:bCs/>
    </w:rPr>
  </w:style>
  <w:style w:type="character" w:customStyle="1" w:styleId="CommentSubjectChar">
    <w:name w:val="Comment Subject Char"/>
    <w:basedOn w:val="CommentTextChar"/>
    <w:link w:val="CommentSubject"/>
    <w:uiPriority w:val="99"/>
    <w:semiHidden/>
    <w:rsid w:val="00B11B29"/>
    <w:rPr>
      <w:rFonts w:ascii="Arial" w:hAnsi="Arial"/>
      <w:b/>
      <w:bCs/>
      <w:sz w:val="20"/>
      <w:szCs w:val="20"/>
    </w:rPr>
  </w:style>
  <w:style w:type="character" w:styleId="UnresolvedMention">
    <w:name w:val="Unresolved Mention"/>
    <w:basedOn w:val="DefaultParagraphFont"/>
    <w:uiPriority w:val="99"/>
    <w:semiHidden/>
    <w:unhideWhenUsed/>
    <w:rsid w:val="002317CE"/>
    <w:rPr>
      <w:color w:val="605E5C"/>
      <w:shd w:val="clear" w:color="auto" w:fill="E1DFDD"/>
    </w:rPr>
  </w:style>
  <w:style w:type="character" w:styleId="FollowedHyperlink">
    <w:name w:val="FollowedHyperlink"/>
    <w:basedOn w:val="DefaultParagraphFont"/>
    <w:uiPriority w:val="99"/>
    <w:semiHidden/>
    <w:unhideWhenUsed/>
    <w:rsid w:val="00E7761D"/>
    <w:rPr>
      <w:color w:val="954F72" w:themeColor="followedHyperlink"/>
      <w:u w:val="single"/>
    </w:rPr>
  </w:style>
  <w:style w:type="paragraph" w:styleId="Revision">
    <w:name w:val="Revision"/>
    <w:hidden/>
    <w:uiPriority w:val="99"/>
    <w:semiHidden/>
    <w:rsid w:val="00E435A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08713">
      <w:bodyDiv w:val="1"/>
      <w:marLeft w:val="0"/>
      <w:marRight w:val="0"/>
      <w:marTop w:val="0"/>
      <w:marBottom w:val="0"/>
      <w:divBdr>
        <w:top w:val="none" w:sz="0" w:space="0" w:color="auto"/>
        <w:left w:val="none" w:sz="0" w:space="0" w:color="auto"/>
        <w:bottom w:val="none" w:sz="0" w:space="0" w:color="auto"/>
        <w:right w:val="none" w:sz="0" w:space="0" w:color="auto"/>
      </w:divBdr>
    </w:div>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 w:id="1667321640">
      <w:bodyDiv w:val="1"/>
      <w:marLeft w:val="0"/>
      <w:marRight w:val="0"/>
      <w:marTop w:val="0"/>
      <w:marBottom w:val="0"/>
      <w:divBdr>
        <w:top w:val="none" w:sz="0" w:space="0" w:color="auto"/>
        <w:left w:val="none" w:sz="0" w:space="0" w:color="auto"/>
        <w:bottom w:val="none" w:sz="0" w:space="0" w:color="auto"/>
        <w:right w:val="none" w:sz="0" w:space="0" w:color="auto"/>
      </w:divBdr>
    </w:div>
    <w:div w:id="20772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a46d0016f0184423" Type="http://schemas.microsoft.com/office/2019/09/relationships/intelligence" Target="intelligence.xml"/><Relationship Id="rId10" Type="http://schemas.openxmlformats.org/officeDocument/2006/relationships/hyperlink" Target="https://www.nls.uk/about-us/policies-and-reports/procurement/" TargetMode="External"/><Relationship Id="rId4" Type="http://schemas.openxmlformats.org/officeDocument/2006/relationships/settings" Target="settings.xml"/><Relationship Id="rId9" Type="http://schemas.openxmlformats.org/officeDocument/2006/relationships/hyperlink" Target="mailto:enquiries@nls.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3086</Words>
  <Characters>17591</Characters>
  <Application>Microsoft Office Word</Application>
  <DocSecurity>2</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20636</CharactersWithSpaces>
  <SharedDoc>false</SharedDoc>
  <HLinks>
    <vt:vector size="132" baseType="variant">
      <vt:variant>
        <vt:i4>1441819</vt:i4>
      </vt:variant>
      <vt:variant>
        <vt:i4>120</vt:i4>
      </vt:variant>
      <vt:variant>
        <vt:i4>0</vt:i4>
      </vt:variant>
      <vt:variant>
        <vt:i4>5</vt:i4>
      </vt:variant>
      <vt:variant>
        <vt:lpwstr>https://www.nls.uk/media/o2tbnfdo/sustainability-policy-2024.docx</vt:lpwstr>
      </vt:variant>
      <vt:variant>
        <vt:lpwstr/>
      </vt:variant>
      <vt:variant>
        <vt:i4>4521995</vt:i4>
      </vt:variant>
      <vt:variant>
        <vt:i4>117</vt:i4>
      </vt:variant>
      <vt:variant>
        <vt:i4>0</vt:i4>
      </vt:variant>
      <vt:variant>
        <vt:i4>5</vt:i4>
      </vt:variant>
      <vt:variant>
        <vt:lpwstr>https://www.nls.uk/about-us/policies-and-reports/procurement/</vt:lpwstr>
      </vt:variant>
      <vt:variant>
        <vt:lpwstr/>
      </vt:variant>
      <vt:variant>
        <vt:i4>4718602</vt:i4>
      </vt:variant>
      <vt:variant>
        <vt:i4>114</vt:i4>
      </vt:variant>
      <vt:variant>
        <vt:i4>0</vt:i4>
      </vt:variant>
      <vt:variant>
        <vt:i4>5</vt:i4>
      </vt:variant>
      <vt:variant>
        <vt:lpwstr>https://www.nls.uk/about-us/what-we-do/our-strategy/</vt:lpwstr>
      </vt:variant>
      <vt:variant>
        <vt:lpwstr/>
      </vt:variant>
      <vt:variant>
        <vt:i4>7143492</vt:i4>
      </vt:variant>
      <vt:variant>
        <vt:i4>111</vt:i4>
      </vt:variant>
      <vt:variant>
        <vt:i4>0</vt:i4>
      </vt:variant>
      <vt:variant>
        <vt:i4>5</vt:i4>
      </vt:variant>
      <vt:variant>
        <vt:lpwstr>mailto:enquiries@nls.uk</vt:lpwstr>
      </vt:variant>
      <vt:variant>
        <vt:lpwstr/>
      </vt:variant>
      <vt:variant>
        <vt:i4>1966140</vt:i4>
      </vt:variant>
      <vt:variant>
        <vt:i4>104</vt:i4>
      </vt:variant>
      <vt:variant>
        <vt:i4>0</vt:i4>
      </vt:variant>
      <vt:variant>
        <vt:i4>5</vt:i4>
      </vt:variant>
      <vt:variant>
        <vt:lpwstr/>
      </vt:variant>
      <vt:variant>
        <vt:lpwstr>_Toc168334680</vt:lpwstr>
      </vt:variant>
      <vt:variant>
        <vt:i4>1114172</vt:i4>
      </vt:variant>
      <vt:variant>
        <vt:i4>98</vt:i4>
      </vt:variant>
      <vt:variant>
        <vt:i4>0</vt:i4>
      </vt:variant>
      <vt:variant>
        <vt:i4>5</vt:i4>
      </vt:variant>
      <vt:variant>
        <vt:lpwstr/>
      </vt:variant>
      <vt:variant>
        <vt:lpwstr>_Toc168334679</vt:lpwstr>
      </vt:variant>
      <vt:variant>
        <vt:i4>1114172</vt:i4>
      </vt:variant>
      <vt:variant>
        <vt:i4>92</vt:i4>
      </vt:variant>
      <vt:variant>
        <vt:i4>0</vt:i4>
      </vt:variant>
      <vt:variant>
        <vt:i4>5</vt:i4>
      </vt:variant>
      <vt:variant>
        <vt:lpwstr/>
      </vt:variant>
      <vt:variant>
        <vt:lpwstr>_Toc168334678</vt:lpwstr>
      </vt:variant>
      <vt:variant>
        <vt:i4>1114172</vt:i4>
      </vt:variant>
      <vt:variant>
        <vt:i4>86</vt:i4>
      </vt:variant>
      <vt:variant>
        <vt:i4>0</vt:i4>
      </vt:variant>
      <vt:variant>
        <vt:i4>5</vt:i4>
      </vt:variant>
      <vt:variant>
        <vt:lpwstr/>
      </vt:variant>
      <vt:variant>
        <vt:lpwstr>_Toc168334677</vt:lpwstr>
      </vt:variant>
      <vt:variant>
        <vt:i4>1114172</vt:i4>
      </vt:variant>
      <vt:variant>
        <vt:i4>80</vt:i4>
      </vt:variant>
      <vt:variant>
        <vt:i4>0</vt:i4>
      </vt:variant>
      <vt:variant>
        <vt:i4>5</vt:i4>
      </vt:variant>
      <vt:variant>
        <vt:lpwstr/>
      </vt:variant>
      <vt:variant>
        <vt:lpwstr>_Toc168334676</vt:lpwstr>
      </vt:variant>
      <vt:variant>
        <vt:i4>1114172</vt:i4>
      </vt:variant>
      <vt:variant>
        <vt:i4>74</vt:i4>
      </vt:variant>
      <vt:variant>
        <vt:i4>0</vt:i4>
      </vt:variant>
      <vt:variant>
        <vt:i4>5</vt:i4>
      </vt:variant>
      <vt:variant>
        <vt:lpwstr/>
      </vt:variant>
      <vt:variant>
        <vt:lpwstr>_Toc168334675</vt:lpwstr>
      </vt:variant>
      <vt:variant>
        <vt:i4>1114172</vt:i4>
      </vt:variant>
      <vt:variant>
        <vt:i4>68</vt:i4>
      </vt:variant>
      <vt:variant>
        <vt:i4>0</vt:i4>
      </vt:variant>
      <vt:variant>
        <vt:i4>5</vt:i4>
      </vt:variant>
      <vt:variant>
        <vt:lpwstr/>
      </vt:variant>
      <vt:variant>
        <vt:lpwstr>_Toc168334674</vt:lpwstr>
      </vt:variant>
      <vt:variant>
        <vt:i4>1114172</vt:i4>
      </vt:variant>
      <vt:variant>
        <vt:i4>62</vt:i4>
      </vt:variant>
      <vt:variant>
        <vt:i4>0</vt:i4>
      </vt:variant>
      <vt:variant>
        <vt:i4>5</vt:i4>
      </vt:variant>
      <vt:variant>
        <vt:lpwstr/>
      </vt:variant>
      <vt:variant>
        <vt:lpwstr>_Toc168334673</vt:lpwstr>
      </vt:variant>
      <vt:variant>
        <vt:i4>1114172</vt:i4>
      </vt:variant>
      <vt:variant>
        <vt:i4>56</vt:i4>
      </vt:variant>
      <vt:variant>
        <vt:i4>0</vt:i4>
      </vt:variant>
      <vt:variant>
        <vt:i4>5</vt:i4>
      </vt:variant>
      <vt:variant>
        <vt:lpwstr/>
      </vt:variant>
      <vt:variant>
        <vt:lpwstr>_Toc168334672</vt:lpwstr>
      </vt:variant>
      <vt:variant>
        <vt:i4>1114172</vt:i4>
      </vt:variant>
      <vt:variant>
        <vt:i4>50</vt:i4>
      </vt:variant>
      <vt:variant>
        <vt:i4>0</vt:i4>
      </vt:variant>
      <vt:variant>
        <vt:i4>5</vt:i4>
      </vt:variant>
      <vt:variant>
        <vt:lpwstr/>
      </vt:variant>
      <vt:variant>
        <vt:lpwstr>_Toc168334671</vt:lpwstr>
      </vt:variant>
      <vt:variant>
        <vt:i4>1114172</vt:i4>
      </vt:variant>
      <vt:variant>
        <vt:i4>44</vt:i4>
      </vt:variant>
      <vt:variant>
        <vt:i4>0</vt:i4>
      </vt:variant>
      <vt:variant>
        <vt:i4>5</vt:i4>
      </vt:variant>
      <vt:variant>
        <vt:lpwstr/>
      </vt:variant>
      <vt:variant>
        <vt:lpwstr>_Toc168334670</vt:lpwstr>
      </vt:variant>
      <vt:variant>
        <vt:i4>1048636</vt:i4>
      </vt:variant>
      <vt:variant>
        <vt:i4>38</vt:i4>
      </vt:variant>
      <vt:variant>
        <vt:i4>0</vt:i4>
      </vt:variant>
      <vt:variant>
        <vt:i4>5</vt:i4>
      </vt:variant>
      <vt:variant>
        <vt:lpwstr/>
      </vt:variant>
      <vt:variant>
        <vt:lpwstr>_Toc168334669</vt:lpwstr>
      </vt:variant>
      <vt:variant>
        <vt:i4>1048636</vt:i4>
      </vt:variant>
      <vt:variant>
        <vt:i4>32</vt:i4>
      </vt:variant>
      <vt:variant>
        <vt:i4>0</vt:i4>
      </vt:variant>
      <vt:variant>
        <vt:i4>5</vt:i4>
      </vt:variant>
      <vt:variant>
        <vt:lpwstr/>
      </vt:variant>
      <vt:variant>
        <vt:lpwstr>_Toc168334668</vt:lpwstr>
      </vt:variant>
      <vt:variant>
        <vt:i4>1048636</vt:i4>
      </vt:variant>
      <vt:variant>
        <vt:i4>26</vt:i4>
      </vt:variant>
      <vt:variant>
        <vt:i4>0</vt:i4>
      </vt:variant>
      <vt:variant>
        <vt:i4>5</vt:i4>
      </vt:variant>
      <vt:variant>
        <vt:lpwstr/>
      </vt:variant>
      <vt:variant>
        <vt:lpwstr>_Toc168334667</vt:lpwstr>
      </vt:variant>
      <vt:variant>
        <vt:i4>1048636</vt:i4>
      </vt:variant>
      <vt:variant>
        <vt:i4>20</vt:i4>
      </vt:variant>
      <vt:variant>
        <vt:i4>0</vt:i4>
      </vt:variant>
      <vt:variant>
        <vt:i4>5</vt:i4>
      </vt:variant>
      <vt:variant>
        <vt:lpwstr/>
      </vt:variant>
      <vt:variant>
        <vt:lpwstr>_Toc168334666</vt:lpwstr>
      </vt:variant>
      <vt:variant>
        <vt:i4>1048636</vt:i4>
      </vt:variant>
      <vt:variant>
        <vt:i4>14</vt:i4>
      </vt:variant>
      <vt:variant>
        <vt:i4>0</vt:i4>
      </vt:variant>
      <vt:variant>
        <vt:i4>5</vt:i4>
      </vt:variant>
      <vt:variant>
        <vt:lpwstr/>
      </vt:variant>
      <vt:variant>
        <vt:lpwstr>_Toc168334665</vt:lpwstr>
      </vt:variant>
      <vt:variant>
        <vt:i4>1048636</vt:i4>
      </vt:variant>
      <vt:variant>
        <vt:i4>8</vt:i4>
      </vt:variant>
      <vt:variant>
        <vt:i4>0</vt:i4>
      </vt:variant>
      <vt:variant>
        <vt:i4>5</vt:i4>
      </vt:variant>
      <vt:variant>
        <vt:lpwstr/>
      </vt:variant>
      <vt:variant>
        <vt:lpwstr>_Toc168334664</vt:lpwstr>
      </vt:variant>
      <vt:variant>
        <vt:i4>1048636</vt:i4>
      </vt:variant>
      <vt:variant>
        <vt:i4>2</vt:i4>
      </vt:variant>
      <vt:variant>
        <vt:i4>0</vt:i4>
      </vt:variant>
      <vt:variant>
        <vt:i4>5</vt:i4>
      </vt:variant>
      <vt:variant>
        <vt:lpwstr/>
      </vt:variant>
      <vt:variant>
        <vt:lpwstr>_Toc168334663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2024-06-24T09:21:00Z</dcterms:created>
  <dcterms:modified xsi:type="dcterms:W3CDTF">2024-06-24T09:21:00Z</dcterms:modified>
</cp:coreProperties>
</file>