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86D67" w14:textId="41F1DFFC" w:rsidR="0033498F" w:rsidRDefault="00470940" w:rsidP="0033498F">
      <w:pPr>
        <w:spacing w:after="360"/>
        <w:jc w:val="right"/>
        <w:rPr>
          <w:rStyle w:val="Heading1Char"/>
        </w:rPr>
      </w:pPr>
      <w:r w:rsidRPr="00400B4B">
        <w:rPr>
          <w:noProof/>
        </w:rPr>
        <w:drawing>
          <wp:inline distT="0" distB="0" distL="0" distR="0" wp14:anchorId="60FA35CB" wp14:editId="3FC01D02">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585A5A8" w14:textId="022667E0" w:rsidR="00815C62" w:rsidRPr="00A53C1B" w:rsidRDefault="00E340B6" w:rsidP="006F68C0">
      <w:pPr>
        <w:pStyle w:val="Heading1"/>
        <w:spacing w:before="1200" w:after="360"/>
        <w:ind w:left="431" w:hanging="431"/>
        <w:rPr>
          <w:rStyle w:val="Heading1Char"/>
          <w:i/>
          <w:iCs/>
        </w:rPr>
      </w:pPr>
      <w:r w:rsidRPr="000A5E8B">
        <w:rPr>
          <w:rStyle w:val="Heading1Char"/>
        </w:rPr>
        <w:t xml:space="preserve">Fraud </w:t>
      </w:r>
      <w:r>
        <w:rPr>
          <w:rStyle w:val="Heading1Char"/>
        </w:rPr>
        <w:t>P</w:t>
      </w:r>
      <w:r w:rsidRPr="000A5E8B">
        <w:rPr>
          <w:rStyle w:val="Heading1Char"/>
        </w:rPr>
        <w:t xml:space="preserve">revention </w:t>
      </w:r>
      <w:r>
        <w:rPr>
          <w:rStyle w:val="Heading1Char"/>
        </w:rPr>
        <w:t>P</w:t>
      </w:r>
      <w:r w:rsidRPr="000A5E8B">
        <w:rPr>
          <w:rStyle w:val="Heading1Char"/>
        </w:rPr>
        <w:t xml:space="preserve">olicy and </w:t>
      </w:r>
      <w:r>
        <w:rPr>
          <w:rStyle w:val="Heading1Char"/>
        </w:rPr>
        <w:t>P</w:t>
      </w:r>
      <w:r w:rsidRPr="000A5E8B">
        <w:rPr>
          <w:rStyle w:val="Heading1Char"/>
        </w:rPr>
        <w:t>rocedure</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FBE742" w14:textId="77777777" w:rsidR="00815C62" w:rsidRDefault="00815C62" w:rsidP="002C7765">
      <w:pPr>
        <w:pStyle w:val="Heading1"/>
        <w:numPr>
          <w:ilvl w:val="0"/>
          <w:numId w:val="0"/>
        </w:numPr>
        <w:spacing w:after="360"/>
        <w:ind w:left="432"/>
      </w:pPr>
    </w:p>
    <w:p w14:paraId="08CA89E1" w14:textId="616FDA6A" w:rsidR="00995125" w:rsidRPr="006A354E" w:rsidRDefault="00815C62" w:rsidP="00815C62">
      <w:pPr>
        <w:spacing w:after="360"/>
        <w:jc w:val="right"/>
      </w:pPr>
      <w:r>
        <w:t xml:space="preserve">Last revised: </w:t>
      </w:r>
      <w:r w:rsidR="009E6087">
        <w:t>November 202</w:t>
      </w:r>
      <w:r w:rsidR="00521418">
        <w:t>3</w:t>
      </w:r>
      <w:r w:rsidR="00995125" w:rsidRPr="006A354E">
        <w:br w:type="page"/>
      </w:r>
      <w:bookmarkEnd w:id="0"/>
      <w:bookmarkEnd w:id="1"/>
    </w:p>
    <w:bookmarkStart w:id="2" w:name="_Toc1936490033" w:displacedByCustomXml="next"/>
    <w:bookmarkStart w:id="3" w:name="_Toc1611036248" w:displacedByCustomXml="next"/>
    <w:sdt>
      <w:sdtPr>
        <w:rPr>
          <w:b/>
        </w:rPr>
        <w:id w:val="-1047525879"/>
        <w:docPartObj>
          <w:docPartGallery w:val="Table of Contents"/>
          <w:docPartUnique/>
        </w:docPartObj>
      </w:sdtPr>
      <w:sdtEndPr>
        <w:rPr>
          <w:b w:val="0"/>
          <w:bCs/>
          <w:noProof/>
        </w:rPr>
      </w:sdtEndPr>
      <w:sdtContent>
        <w:p w14:paraId="58A006E4" w14:textId="499B2ADE" w:rsidR="00F228FE" w:rsidRPr="00EE04A9" w:rsidRDefault="00F228FE" w:rsidP="007669FE">
          <w:pPr>
            <w:spacing w:after="360"/>
            <w:rPr>
              <w:rStyle w:val="Heading2Char"/>
            </w:rPr>
          </w:pPr>
          <w:r w:rsidRPr="00EE04A9">
            <w:rPr>
              <w:rStyle w:val="Heading2Char"/>
            </w:rPr>
            <w:t>Contents</w:t>
          </w:r>
          <w:bookmarkEnd w:id="3"/>
          <w:bookmarkEnd w:id="2"/>
        </w:p>
        <w:p w14:paraId="323B99C6" w14:textId="67A4AFC2" w:rsidR="002077EF" w:rsidRDefault="00373F0A">
          <w:pPr>
            <w:pStyle w:val="TOC1"/>
            <w:spacing w:after="360"/>
            <w:rPr>
              <w:rFonts w:asciiTheme="minorHAnsi" w:eastAsiaTheme="minorEastAsia" w:hAnsiTheme="minorHAnsi"/>
              <w:noProof/>
              <w:kern w:val="2"/>
              <w:szCs w:val="24"/>
              <w:lang w:eastAsia="en-GB"/>
              <w14:ligatures w14:val="standardContextual"/>
            </w:rPr>
          </w:pPr>
          <w:r>
            <w:fldChar w:fldCharType="begin"/>
          </w:r>
          <w:r>
            <w:instrText xml:space="preserve"> TOC \h \z \t "Heading 2,1,Heading 2 (No Numbers),1" </w:instrText>
          </w:r>
          <w:r>
            <w:fldChar w:fldCharType="separate"/>
          </w:r>
          <w:hyperlink w:anchor="_Toc174090727" w:history="1">
            <w:r w:rsidR="002077EF" w:rsidRPr="005717F0">
              <w:rPr>
                <w:rStyle w:val="Hyperlink"/>
                <w:noProof/>
              </w:rPr>
              <w:t>1.</w:t>
            </w:r>
            <w:r w:rsidR="002077EF">
              <w:rPr>
                <w:rFonts w:asciiTheme="minorHAnsi" w:eastAsiaTheme="minorEastAsia" w:hAnsiTheme="minorHAnsi"/>
                <w:noProof/>
                <w:kern w:val="2"/>
                <w:szCs w:val="24"/>
                <w:lang w:eastAsia="en-GB"/>
                <w14:ligatures w14:val="standardContextual"/>
              </w:rPr>
              <w:tab/>
            </w:r>
            <w:r w:rsidR="002077EF" w:rsidRPr="005717F0">
              <w:rPr>
                <w:rStyle w:val="Hyperlink"/>
                <w:noProof/>
              </w:rPr>
              <w:t>Scope</w:t>
            </w:r>
            <w:r w:rsidR="002077EF">
              <w:rPr>
                <w:noProof/>
                <w:webHidden/>
              </w:rPr>
              <w:tab/>
            </w:r>
            <w:r w:rsidR="002077EF">
              <w:rPr>
                <w:noProof/>
                <w:webHidden/>
              </w:rPr>
              <w:fldChar w:fldCharType="begin"/>
            </w:r>
            <w:r w:rsidR="002077EF">
              <w:rPr>
                <w:noProof/>
                <w:webHidden/>
              </w:rPr>
              <w:instrText xml:space="preserve"> PAGEREF _Toc174090727 \h </w:instrText>
            </w:r>
            <w:r w:rsidR="002077EF">
              <w:rPr>
                <w:noProof/>
                <w:webHidden/>
              </w:rPr>
            </w:r>
            <w:r w:rsidR="002077EF">
              <w:rPr>
                <w:noProof/>
                <w:webHidden/>
              </w:rPr>
              <w:fldChar w:fldCharType="separate"/>
            </w:r>
            <w:r w:rsidR="002077EF">
              <w:rPr>
                <w:noProof/>
                <w:webHidden/>
              </w:rPr>
              <w:t>3</w:t>
            </w:r>
            <w:r w:rsidR="002077EF">
              <w:rPr>
                <w:noProof/>
                <w:webHidden/>
              </w:rPr>
              <w:fldChar w:fldCharType="end"/>
            </w:r>
          </w:hyperlink>
        </w:p>
        <w:p w14:paraId="33870A49" w14:textId="58150961" w:rsidR="002077EF" w:rsidRDefault="00000000">
          <w:pPr>
            <w:pStyle w:val="TOC1"/>
            <w:spacing w:after="360"/>
            <w:rPr>
              <w:rFonts w:asciiTheme="minorHAnsi" w:eastAsiaTheme="minorEastAsia" w:hAnsiTheme="minorHAnsi"/>
              <w:noProof/>
              <w:kern w:val="2"/>
              <w:szCs w:val="24"/>
              <w:lang w:eastAsia="en-GB"/>
              <w14:ligatures w14:val="standardContextual"/>
            </w:rPr>
          </w:pPr>
          <w:hyperlink w:anchor="_Toc174090728" w:history="1">
            <w:r w:rsidR="002077EF" w:rsidRPr="005717F0">
              <w:rPr>
                <w:rStyle w:val="Hyperlink"/>
                <w:noProof/>
              </w:rPr>
              <w:t>2.</w:t>
            </w:r>
            <w:r w:rsidR="002077EF">
              <w:rPr>
                <w:rFonts w:asciiTheme="minorHAnsi" w:eastAsiaTheme="minorEastAsia" w:hAnsiTheme="minorHAnsi"/>
                <w:noProof/>
                <w:kern w:val="2"/>
                <w:szCs w:val="24"/>
                <w:lang w:eastAsia="en-GB"/>
                <w14:ligatures w14:val="standardContextual"/>
              </w:rPr>
              <w:tab/>
            </w:r>
            <w:r w:rsidR="002077EF" w:rsidRPr="005717F0">
              <w:rPr>
                <w:rStyle w:val="Hyperlink"/>
                <w:noProof/>
              </w:rPr>
              <w:t>Aim</w:t>
            </w:r>
            <w:r w:rsidR="002077EF">
              <w:rPr>
                <w:noProof/>
                <w:webHidden/>
              </w:rPr>
              <w:tab/>
            </w:r>
            <w:r w:rsidR="002077EF">
              <w:rPr>
                <w:noProof/>
                <w:webHidden/>
              </w:rPr>
              <w:fldChar w:fldCharType="begin"/>
            </w:r>
            <w:r w:rsidR="002077EF">
              <w:rPr>
                <w:noProof/>
                <w:webHidden/>
              </w:rPr>
              <w:instrText xml:space="preserve"> PAGEREF _Toc174090728 \h </w:instrText>
            </w:r>
            <w:r w:rsidR="002077EF">
              <w:rPr>
                <w:noProof/>
                <w:webHidden/>
              </w:rPr>
            </w:r>
            <w:r w:rsidR="002077EF">
              <w:rPr>
                <w:noProof/>
                <w:webHidden/>
              </w:rPr>
              <w:fldChar w:fldCharType="separate"/>
            </w:r>
            <w:r w:rsidR="002077EF">
              <w:rPr>
                <w:noProof/>
                <w:webHidden/>
              </w:rPr>
              <w:t>3</w:t>
            </w:r>
            <w:r w:rsidR="002077EF">
              <w:rPr>
                <w:noProof/>
                <w:webHidden/>
              </w:rPr>
              <w:fldChar w:fldCharType="end"/>
            </w:r>
          </w:hyperlink>
        </w:p>
        <w:p w14:paraId="5EA265B0" w14:textId="5065A7FC" w:rsidR="002077EF" w:rsidRDefault="00000000">
          <w:pPr>
            <w:pStyle w:val="TOC1"/>
            <w:spacing w:after="360"/>
            <w:rPr>
              <w:rFonts w:asciiTheme="minorHAnsi" w:eastAsiaTheme="minorEastAsia" w:hAnsiTheme="minorHAnsi"/>
              <w:noProof/>
              <w:kern w:val="2"/>
              <w:szCs w:val="24"/>
              <w:lang w:eastAsia="en-GB"/>
              <w14:ligatures w14:val="standardContextual"/>
            </w:rPr>
          </w:pPr>
          <w:hyperlink w:anchor="_Toc174090729" w:history="1">
            <w:r w:rsidR="002077EF" w:rsidRPr="005717F0">
              <w:rPr>
                <w:rStyle w:val="Hyperlink"/>
                <w:noProof/>
              </w:rPr>
              <w:t>3.</w:t>
            </w:r>
            <w:r w:rsidR="002077EF">
              <w:rPr>
                <w:rFonts w:asciiTheme="minorHAnsi" w:eastAsiaTheme="minorEastAsia" w:hAnsiTheme="minorHAnsi"/>
                <w:noProof/>
                <w:kern w:val="2"/>
                <w:szCs w:val="24"/>
                <w:lang w:eastAsia="en-GB"/>
                <w14:ligatures w14:val="standardContextual"/>
              </w:rPr>
              <w:tab/>
            </w:r>
            <w:r w:rsidR="002077EF" w:rsidRPr="005717F0">
              <w:rPr>
                <w:rStyle w:val="Hyperlink"/>
                <w:noProof/>
              </w:rPr>
              <w:t>Purpose</w:t>
            </w:r>
            <w:r w:rsidR="002077EF">
              <w:rPr>
                <w:noProof/>
                <w:webHidden/>
              </w:rPr>
              <w:tab/>
            </w:r>
            <w:r w:rsidR="002077EF">
              <w:rPr>
                <w:noProof/>
                <w:webHidden/>
              </w:rPr>
              <w:fldChar w:fldCharType="begin"/>
            </w:r>
            <w:r w:rsidR="002077EF">
              <w:rPr>
                <w:noProof/>
                <w:webHidden/>
              </w:rPr>
              <w:instrText xml:space="preserve"> PAGEREF _Toc174090729 \h </w:instrText>
            </w:r>
            <w:r w:rsidR="002077EF">
              <w:rPr>
                <w:noProof/>
                <w:webHidden/>
              </w:rPr>
            </w:r>
            <w:r w:rsidR="002077EF">
              <w:rPr>
                <w:noProof/>
                <w:webHidden/>
              </w:rPr>
              <w:fldChar w:fldCharType="separate"/>
            </w:r>
            <w:r w:rsidR="002077EF">
              <w:rPr>
                <w:noProof/>
                <w:webHidden/>
              </w:rPr>
              <w:t>3</w:t>
            </w:r>
            <w:r w:rsidR="002077EF">
              <w:rPr>
                <w:noProof/>
                <w:webHidden/>
              </w:rPr>
              <w:fldChar w:fldCharType="end"/>
            </w:r>
          </w:hyperlink>
        </w:p>
        <w:p w14:paraId="1724029B" w14:textId="2B7CA37C" w:rsidR="002077EF" w:rsidRDefault="00000000">
          <w:pPr>
            <w:pStyle w:val="TOC1"/>
            <w:spacing w:after="360"/>
            <w:rPr>
              <w:rFonts w:asciiTheme="minorHAnsi" w:eastAsiaTheme="minorEastAsia" w:hAnsiTheme="minorHAnsi"/>
              <w:noProof/>
              <w:kern w:val="2"/>
              <w:szCs w:val="24"/>
              <w:lang w:eastAsia="en-GB"/>
              <w14:ligatures w14:val="standardContextual"/>
            </w:rPr>
          </w:pPr>
          <w:hyperlink w:anchor="_Toc174090730" w:history="1">
            <w:r w:rsidR="002077EF" w:rsidRPr="005717F0">
              <w:rPr>
                <w:rStyle w:val="Hyperlink"/>
                <w:noProof/>
              </w:rPr>
              <w:t>4.</w:t>
            </w:r>
            <w:r w:rsidR="002077EF">
              <w:rPr>
                <w:rFonts w:asciiTheme="minorHAnsi" w:eastAsiaTheme="minorEastAsia" w:hAnsiTheme="minorHAnsi"/>
                <w:noProof/>
                <w:kern w:val="2"/>
                <w:szCs w:val="24"/>
                <w:lang w:eastAsia="en-GB"/>
                <w14:ligatures w14:val="standardContextual"/>
              </w:rPr>
              <w:tab/>
            </w:r>
            <w:r w:rsidR="002077EF" w:rsidRPr="005717F0">
              <w:rPr>
                <w:rStyle w:val="Hyperlink"/>
                <w:noProof/>
              </w:rPr>
              <w:t>Principles</w:t>
            </w:r>
            <w:r w:rsidR="002077EF">
              <w:rPr>
                <w:noProof/>
                <w:webHidden/>
              </w:rPr>
              <w:tab/>
            </w:r>
            <w:r w:rsidR="002077EF">
              <w:rPr>
                <w:noProof/>
                <w:webHidden/>
              </w:rPr>
              <w:fldChar w:fldCharType="begin"/>
            </w:r>
            <w:r w:rsidR="002077EF">
              <w:rPr>
                <w:noProof/>
                <w:webHidden/>
              </w:rPr>
              <w:instrText xml:space="preserve"> PAGEREF _Toc174090730 \h </w:instrText>
            </w:r>
            <w:r w:rsidR="002077EF">
              <w:rPr>
                <w:noProof/>
                <w:webHidden/>
              </w:rPr>
            </w:r>
            <w:r w:rsidR="002077EF">
              <w:rPr>
                <w:noProof/>
                <w:webHidden/>
              </w:rPr>
              <w:fldChar w:fldCharType="separate"/>
            </w:r>
            <w:r w:rsidR="002077EF">
              <w:rPr>
                <w:noProof/>
                <w:webHidden/>
              </w:rPr>
              <w:t>4</w:t>
            </w:r>
            <w:r w:rsidR="002077EF">
              <w:rPr>
                <w:noProof/>
                <w:webHidden/>
              </w:rPr>
              <w:fldChar w:fldCharType="end"/>
            </w:r>
          </w:hyperlink>
        </w:p>
        <w:p w14:paraId="5B84BCD6" w14:textId="5E124F6B" w:rsidR="002077EF" w:rsidRDefault="00000000">
          <w:pPr>
            <w:pStyle w:val="TOC1"/>
            <w:spacing w:after="360"/>
            <w:rPr>
              <w:rFonts w:asciiTheme="minorHAnsi" w:eastAsiaTheme="minorEastAsia" w:hAnsiTheme="minorHAnsi"/>
              <w:noProof/>
              <w:kern w:val="2"/>
              <w:szCs w:val="24"/>
              <w:lang w:eastAsia="en-GB"/>
              <w14:ligatures w14:val="standardContextual"/>
            </w:rPr>
          </w:pPr>
          <w:hyperlink w:anchor="_Toc174090731" w:history="1">
            <w:r w:rsidR="002077EF" w:rsidRPr="005717F0">
              <w:rPr>
                <w:rStyle w:val="Hyperlink"/>
                <w:noProof/>
              </w:rPr>
              <w:t>5.</w:t>
            </w:r>
            <w:r w:rsidR="002077EF">
              <w:rPr>
                <w:rFonts w:asciiTheme="minorHAnsi" w:eastAsiaTheme="minorEastAsia" w:hAnsiTheme="minorHAnsi"/>
                <w:noProof/>
                <w:kern w:val="2"/>
                <w:szCs w:val="24"/>
                <w:lang w:eastAsia="en-GB"/>
                <w14:ligatures w14:val="standardContextual"/>
              </w:rPr>
              <w:tab/>
            </w:r>
            <w:r w:rsidR="002077EF" w:rsidRPr="005717F0">
              <w:rPr>
                <w:rStyle w:val="Hyperlink"/>
                <w:noProof/>
              </w:rPr>
              <w:t>Definition of fraud</w:t>
            </w:r>
            <w:r w:rsidR="002077EF">
              <w:rPr>
                <w:noProof/>
                <w:webHidden/>
              </w:rPr>
              <w:tab/>
            </w:r>
            <w:r w:rsidR="002077EF">
              <w:rPr>
                <w:noProof/>
                <w:webHidden/>
              </w:rPr>
              <w:fldChar w:fldCharType="begin"/>
            </w:r>
            <w:r w:rsidR="002077EF">
              <w:rPr>
                <w:noProof/>
                <w:webHidden/>
              </w:rPr>
              <w:instrText xml:space="preserve"> PAGEREF _Toc174090731 \h </w:instrText>
            </w:r>
            <w:r w:rsidR="002077EF">
              <w:rPr>
                <w:noProof/>
                <w:webHidden/>
              </w:rPr>
            </w:r>
            <w:r w:rsidR="002077EF">
              <w:rPr>
                <w:noProof/>
                <w:webHidden/>
              </w:rPr>
              <w:fldChar w:fldCharType="separate"/>
            </w:r>
            <w:r w:rsidR="002077EF">
              <w:rPr>
                <w:noProof/>
                <w:webHidden/>
              </w:rPr>
              <w:t>4</w:t>
            </w:r>
            <w:r w:rsidR="002077EF">
              <w:rPr>
                <w:noProof/>
                <w:webHidden/>
              </w:rPr>
              <w:fldChar w:fldCharType="end"/>
            </w:r>
          </w:hyperlink>
        </w:p>
        <w:p w14:paraId="0E4D575B" w14:textId="5033175D" w:rsidR="002077EF" w:rsidRDefault="00000000">
          <w:pPr>
            <w:pStyle w:val="TOC1"/>
            <w:spacing w:after="360"/>
            <w:rPr>
              <w:rFonts w:asciiTheme="minorHAnsi" w:eastAsiaTheme="minorEastAsia" w:hAnsiTheme="minorHAnsi"/>
              <w:noProof/>
              <w:kern w:val="2"/>
              <w:szCs w:val="24"/>
              <w:lang w:eastAsia="en-GB"/>
              <w14:ligatures w14:val="standardContextual"/>
            </w:rPr>
          </w:pPr>
          <w:hyperlink w:anchor="_Toc174090732" w:history="1">
            <w:r w:rsidR="002077EF" w:rsidRPr="005717F0">
              <w:rPr>
                <w:rStyle w:val="Hyperlink"/>
                <w:noProof/>
              </w:rPr>
              <w:t>6.</w:t>
            </w:r>
            <w:r w:rsidR="002077EF">
              <w:rPr>
                <w:rFonts w:asciiTheme="minorHAnsi" w:eastAsiaTheme="minorEastAsia" w:hAnsiTheme="minorHAnsi"/>
                <w:noProof/>
                <w:kern w:val="2"/>
                <w:szCs w:val="24"/>
                <w:lang w:eastAsia="en-GB"/>
                <w14:ligatures w14:val="standardContextual"/>
              </w:rPr>
              <w:tab/>
            </w:r>
            <w:r w:rsidR="002077EF" w:rsidRPr="005717F0">
              <w:rPr>
                <w:rStyle w:val="Hyperlink"/>
                <w:noProof/>
                <w:shd w:val="clear" w:color="auto" w:fill="FFFFFF"/>
              </w:rPr>
              <w:t>Danger signs – internal fraud</w:t>
            </w:r>
            <w:r w:rsidR="002077EF">
              <w:rPr>
                <w:noProof/>
                <w:webHidden/>
              </w:rPr>
              <w:tab/>
            </w:r>
            <w:r w:rsidR="002077EF">
              <w:rPr>
                <w:noProof/>
                <w:webHidden/>
              </w:rPr>
              <w:fldChar w:fldCharType="begin"/>
            </w:r>
            <w:r w:rsidR="002077EF">
              <w:rPr>
                <w:noProof/>
                <w:webHidden/>
              </w:rPr>
              <w:instrText xml:space="preserve"> PAGEREF _Toc174090732 \h </w:instrText>
            </w:r>
            <w:r w:rsidR="002077EF">
              <w:rPr>
                <w:noProof/>
                <w:webHidden/>
              </w:rPr>
            </w:r>
            <w:r w:rsidR="002077EF">
              <w:rPr>
                <w:noProof/>
                <w:webHidden/>
              </w:rPr>
              <w:fldChar w:fldCharType="separate"/>
            </w:r>
            <w:r w:rsidR="002077EF">
              <w:rPr>
                <w:noProof/>
                <w:webHidden/>
              </w:rPr>
              <w:t>5</w:t>
            </w:r>
            <w:r w:rsidR="002077EF">
              <w:rPr>
                <w:noProof/>
                <w:webHidden/>
              </w:rPr>
              <w:fldChar w:fldCharType="end"/>
            </w:r>
          </w:hyperlink>
        </w:p>
        <w:p w14:paraId="481CE9F7" w14:textId="357E3C6D" w:rsidR="002077EF" w:rsidRDefault="00000000">
          <w:pPr>
            <w:pStyle w:val="TOC1"/>
            <w:spacing w:after="360"/>
            <w:rPr>
              <w:rFonts w:asciiTheme="minorHAnsi" w:eastAsiaTheme="minorEastAsia" w:hAnsiTheme="minorHAnsi"/>
              <w:noProof/>
              <w:kern w:val="2"/>
              <w:szCs w:val="24"/>
              <w:lang w:eastAsia="en-GB"/>
              <w14:ligatures w14:val="standardContextual"/>
            </w:rPr>
          </w:pPr>
          <w:hyperlink w:anchor="_Toc174090733" w:history="1">
            <w:r w:rsidR="002077EF" w:rsidRPr="005717F0">
              <w:rPr>
                <w:rStyle w:val="Hyperlink"/>
                <w:bCs/>
                <w:noProof/>
              </w:rPr>
              <w:t>7.</w:t>
            </w:r>
            <w:r w:rsidR="002077EF">
              <w:rPr>
                <w:rFonts w:asciiTheme="minorHAnsi" w:eastAsiaTheme="minorEastAsia" w:hAnsiTheme="minorHAnsi"/>
                <w:noProof/>
                <w:kern w:val="2"/>
                <w:szCs w:val="24"/>
                <w:lang w:eastAsia="en-GB"/>
                <w14:ligatures w14:val="standardContextual"/>
              </w:rPr>
              <w:tab/>
            </w:r>
            <w:r w:rsidR="002077EF" w:rsidRPr="005717F0">
              <w:rPr>
                <w:rStyle w:val="Hyperlink"/>
                <w:noProof/>
              </w:rPr>
              <w:t>Responsibilities</w:t>
            </w:r>
            <w:r w:rsidR="002077EF">
              <w:rPr>
                <w:noProof/>
                <w:webHidden/>
              </w:rPr>
              <w:tab/>
            </w:r>
            <w:r w:rsidR="002077EF">
              <w:rPr>
                <w:noProof/>
                <w:webHidden/>
              </w:rPr>
              <w:fldChar w:fldCharType="begin"/>
            </w:r>
            <w:r w:rsidR="002077EF">
              <w:rPr>
                <w:noProof/>
                <w:webHidden/>
              </w:rPr>
              <w:instrText xml:space="preserve"> PAGEREF _Toc174090733 \h </w:instrText>
            </w:r>
            <w:r w:rsidR="002077EF">
              <w:rPr>
                <w:noProof/>
                <w:webHidden/>
              </w:rPr>
            </w:r>
            <w:r w:rsidR="002077EF">
              <w:rPr>
                <w:noProof/>
                <w:webHidden/>
              </w:rPr>
              <w:fldChar w:fldCharType="separate"/>
            </w:r>
            <w:r w:rsidR="002077EF">
              <w:rPr>
                <w:noProof/>
                <w:webHidden/>
              </w:rPr>
              <w:t>6</w:t>
            </w:r>
            <w:r w:rsidR="002077EF">
              <w:rPr>
                <w:noProof/>
                <w:webHidden/>
              </w:rPr>
              <w:fldChar w:fldCharType="end"/>
            </w:r>
          </w:hyperlink>
        </w:p>
        <w:p w14:paraId="18489382" w14:textId="295FC861" w:rsidR="002077EF" w:rsidRDefault="00000000">
          <w:pPr>
            <w:pStyle w:val="TOC1"/>
            <w:spacing w:after="360"/>
            <w:rPr>
              <w:rFonts w:asciiTheme="minorHAnsi" w:eastAsiaTheme="minorEastAsia" w:hAnsiTheme="minorHAnsi"/>
              <w:noProof/>
              <w:kern w:val="2"/>
              <w:szCs w:val="24"/>
              <w:lang w:eastAsia="en-GB"/>
              <w14:ligatures w14:val="standardContextual"/>
            </w:rPr>
          </w:pPr>
          <w:hyperlink w:anchor="_Toc174090734" w:history="1">
            <w:r w:rsidR="002077EF" w:rsidRPr="005717F0">
              <w:rPr>
                <w:rStyle w:val="Hyperlink"/>
                <w:noProof/>
              </w:rPr>
              <w:t>8.</w:t>
            </w:r>
            <w:r w:rsidR="002077EF">
              <w:rPr>
                <w:rFonts w:asciiTheme="minorHAnsi" w:eastAsiaTheme="minorEastAsia" w:hAnsiTheme="minorHAnsi"/>
                <w:noProof/>
                <w:kern w:val="2"/>
                <w:szCs w:val="24"/>
                <w:lang w:eastAsia="en-GB"/>
                <w14:ligatures w14:val="standardContextual"/>
              </w:rPr>
              <w:tab/>
            </w:r>
            <w:r w:rsidR="002077EF" w:rsidRPr="005717F0">
              <w:rPr>
                <w:rStyle w:val="Hyperlink"/>
                <w:noProof/>
              </w:rPr>
              <w:t>Related Policies</w:t>
            </w:r>
            <w:r w:rsidR="002077EF">
              <w:rPr>
                <w:noProof/>
                <w:webHidden/>
              </w:rPr>
              <w:tab/>
            </w:r>
            <w:r w:rsidR="002077EF">
              <w:rPr>
                <w:noProof/>
                <w:webHidden/>
              </w:rPr>
              <w:fldChar w:fldCharType="begin"/>
            </w:r>
            <w:r w:rsidR="002077EF">
              <w:rPr>
                <w:noProof/>
                <w:webHidden/>
              </w:rPr>
              <w:instrText xml:space="preserve"> PAGEREF _Toc174090734 \h </w:instrText>
            </w:r>
            <w:r w:rsidR="002077EF">
              <w:rPr>
                <w:noProof/>
                <w:webHidden/>
              </w:rPr>
            </w:r>
            <w:r w:rsidR="002077EF">
              <w:rPr>
                <w:noProof/>
                <w:webHidden/>
              </w:rPr>
              <w:fldChar w:fldCharType="separate"/>
            </w:r>
            <w:r w:rsidR="002077EF">
              <w:rPr>
                <w:noProof/>
                <w:webHidden/>
              </w:rPr>
              <w:t>9</w:t>
            </w:r>
            <w:r w:rsidR="002077EF">
              <w:rPr>
                <w:noProof/>
                <w:webHidden/>
              </w:rPr>
              <w:fldChar w:fldCharType="end"/>
            </w:r>
          </w:hyperlink>
        </w:p>
        <w:p w14:paraId="334F8F7C" w14:textId="4594C155" w:rsidR="002077EF" w:rsidRDefault="00000000">
          <w:pPr>
            <w:pStyle w:val="TOC1"/>
            <w:spacing w:after="360"/>
            <w:rPr>
              <w:rFonts w:asciiTheme="minorHAnsi" w:eastAsiaTheme="minorEastAsia" w:hAnsiTheme="minorHAnsi"/>
              <w:noProof/>
              <w:kern w:val="2"/>
              <w:szCs w:val="24"/>
              <w:lang w:eastAsia="en-GB"/>
              <w14:ligatures w14:val="standardContextual"/>
            </w:rPr>
          </w:pPr>
          <w:hyperlink w:anchor="_Toc174090735" w:history="1">
            <w:r w:rsidR="002077EF" w:rsidRPr="005717F0">
              <w:rPr>
                <w:rStyle w:val="Hyperlink"/>
                <w:noProof/>
              </w:rPr>
              <w:t>9.</w:t>
            </w:r>
            <w:r w:rsidR="002077EF">
              <w:rPr>
                <w:rFonts w:asciiTheme="minorHAnsi" w:eastAsiaTheme="minorEastAsia" w:hAnsiTheme="minorHAnsi"/>
                <w:noProof/>
                <w:kern w:val="2"/>
                <w:szCs w:val="24"/>
                <w:lang w:eastAsia="en-GB"/>
                <w14:ligatures w14:val="standardContextual"/>
              </w:rPr>
              <w:tab/>
            </w:r>
            <w:r w:rsidR="002077EF" w:rsidRPr="005717F0">
              <w:rPr>
                <w:rStyle w:val="Hyperlink"/>
                <w:noProof/>
              </w:rPr>
              <w:t>Document information</w:t>
            </w:r>
            <w:r w:rsidR="002077EF">
              <w:rPr>
                <w:noProof/>
                <w:webHidden/>
              </w:rPr>
              <w:tab/>
            </w:r>
            <w:r w:rsidR="002077EF">
              <w:rPr>
                <w:noProof/>
                <w:webHidden/>
              </w:rPr>
              <w:fldChar w:fldCharType="begin"/>
            </w:r>
            <w:r w:rsidR="002077EF">
              <w:rPr>
                <w:noProof/>
                <w:webHidden/>
              </w:rPr>
              <w:instrText xml:space="preserve"> PAGEREF _Toc174090735 \h </w:instrText>
            </w:r>
            <w:r w:rsidR="002077EF">
              <w:rPr>
                <w:noProof/>
                <w:webHidden/>
              </w:rPr>
            </w:r>
            <w:r w:rsidR="002077EF">
              <w:rPr>
                <w:noProof/>
                <w:webHidden/>
              </w:rPr>
              <w:fldChar w:fldCharType="separate"/>
            </w:r>
            <w:r w:rsidR="002077EF">
              <w:rPr>
                <w:noProof/>
                <w:webHidden/>
              </w:rPr>
              <w:t>10</w:t>
            </w:r>
            <w:r w:rsidR="002077EF">
              <w:rPr>
                <w:noProof/>
                <w:webHidden/>
              </w:rPr>
              <w:fldChar w:fldCharType="end"/>
            </w:r>
          </w:hyperlink>
        </w:p>
        <w:p w14:paraId="0E4056CD" w14:textId="24D9440C" w:rsidR="002077EF" w:rsidRDefault="00000000">
          <w:pPr>
            <w:pStyle w:val="TOC1"/>
            <w:spacing w:after="360"/>
            <w:rPr>
              <w:rFonts w:asciiTheme="minorHAnsi" w:eastAsiaTheme="minorEastAsia" w:hAnsiTheme="minorHAnsi"/>
              <w:noProof/>
              <w:kern w:val="2"/>
              <w:szCs w:val="24"/>
              <w:lang w:eastAsia="en-GB"/>
              <w14:ligatures w14:val="standardContextual"/>
            </w:rPr>
          </w:pPr>
          <w:hyperlink w:anchor="_Toc174090736" w:history="1">
            <w:r w:rsidR="002077EF" w:rsidRPr="005717F0">
              <w:rPr>
                <w:rStyle w:val="Hyperlink"/>
                <w:noProof/>
              </w:rPr>
              <w:t>10.</w:t>
            </w:r>
            <w:r w:rsidR="002077EF">
              <w:rPr>
                <w:rFonts w:asciiTheme="minorHAnsi" w:eastAsiaTheme="minorEastAsia" w:hAnsiTheme="minorHAnsi"/>
                <w:noProof/>
                <w:kern w:val="2"/>
                <w:szCs w:val="24"/>
                <w:lang w:eastAsia="en-GB"/>
                <w14:ligatures w14:val="standardContextual"/>
              </w:rPr>
              <w:tab/>
            </w:r>
            <w:r w:rsidR="002077EF" w:rsidRPr="005717F0">
              <w:rPr>
                <w:rStyle w:val="Hyperlink"/>
                <w:noProof/>
              </w:rPr>
              <w:t>Document control</w:t>
            </w:r>
            <w:r w:rsidR="002077EF">
              <w:rPr>
                <w:noProof/>
                <w:webHidden/>
              </w:rPr>
              <w:tab/>
            </w:r>
            <w:r w:rsidR="002077EF">
              <w:rPr>
                <w:noProof/>
                <w:webHidden/>
              </w:rPr>
              <w:fldChar w:fldCharType="begin"/>
            </w:r>
            <w:r w:rsidR="002077EF">
              <w:rPr>
                <w:noProof/>
                <w:webHidden/>
              </w:rPr>
              <w:instrText xml:space="preserve"> PAGEREF _Toc174090736 \h </w:instrText>
            </w:r>
            <w:r w:rsidR="002077EF">
              <w:rPr>
                <w:noProof/>
                <w:webHidden/>
              </w:rPr>
            </w:r>
            <w:r w:rsidR="002077EF">
              <w:rPr>
                <w:noProof/>
                <w:webHidden/>
              </w:rPr>
              <w:fldChar w:fldCharType="separate"/>
            </w:r>
            <w:r w:rsidR="002077EF">
              <w:rPr>
                <w:noProof/>
                <w:webHidden/>
              </w:rPr>
              <w:t>10</w:t>
            </w:r>
            <w:r w:rsidR="002077EF">
              <w:rPr>
                <w:noProof/>
                <w:webHidden/>
              </w:rPr>
              <w:fldChar w:fldCharType="end"/>
            </w:r>
          </w:hyperlink>
        </w:p>
        <w:p w14:paraId="433C222A" w14:textId="554EA647" w:rsidR="007669FE" w:rsidRDefault="00373F0A" w:rsidP="007669FE">
          <w:pPr>
            <w:spacing w:after="360"/>
            <w:rPr>
              <w:bCs/>
              <w:noProof/>
            </w:rPr>
          </w:pPr>
          <w:r>
            <w:fldChar w:fldCharType="end"/>
          </w:r>
        </w:p>
      </w:sdtContent>
    </w:sdt>
    <w:p w14:paraId="1668F9DE" w14:textId="5DD5356C" w:rsidR="00D57903" w:rsidRPr="0020697F" w:rsidRDefault="00995125" w:rsidP="007669FE">
      <w:pPr>
        <w:pStyle w:val="Heading2"/>
        <w:spacing w:after="360"/>
      </w:pPr>
      <w:bookmarkStart w:id="4" w:name="_Toc1922457677"/>
      <w:bookmarkStart w:id="5" w:name="_Toc1210974249"/>
      <w:r>
        <w:br w:type="page"/>
      </w:r>
      <w:bookmarkStart w:id="6" w:name="_Toc174090727"/>
      <w:r w:rsidR="00B13742">
        <w:lastRenderedPageBreak/>
        <w:t>Scope</w:t>
      </w:r>
      <w:bookmarkEnd w:id="6"/>
      <w:r w:rsidR="00D15FF3">
        <w:t xml:space="preserve"> </w:t>
      </w:r>
      <w:bookmarkEnd w:id="4"/>
      <w:bookmarkEnd w:id="5"/>
    </w:p>
    <w:p w14:paraId="6C01D8DF" w14:textId="400DC0F5" w:rsidR="0040384F" w:rsidRDefault="003F227D" w:rsidP="00920D9C">
      <w:pPr>
        <w:spacing w:after="360"/>
        <w:rPr>
          <w:rFonts w:cs="Arial"/>
          <w:color w:val="000000"/>
          <w:shd w:val="clear" w:color="auto" w:fill="FFFFFF"/>
        </w:rPr>
      </w:pPr>
      <w:r w:rsidRPr="003F227D">
        <w:rPr>
          <w:rFonts w:cs="Arial"/>
          <w:color w:val="000000"/>
          <w:shd w:val="clear" w:color="auto" w:fill="FFFFFF"/>
        </w:rPr>
        <w:t xml:space="preserve">This policy </w:t>
      </w:r>
      <w:r w:rsidR="00F229F5">
        <w:rPr>
          <w:rFonts w:cs="Arial"/>
          <w:color w:val="000000"/>
          <w:shd w:val="clear" w:color="auto" w:fill="FFFFFF"/>
        </w:rPr>
        <w:t xml:space="preserve">and procedure </w:t>
      </w:r>
      <w:r w:rsidRPr="003F227D">
        <w:rPr>
          <w:rFonts w:cs="Arial"/>
          <w:color w:val="000000"/>
          <w:shd w:val="clear" w:color="auto" w:fill="FFFFFF"/>
        </w:rPr>
        <w:t>applies t</w:t>
      </w:r>
      <w:r w:rsidR="0040384F">
        <w:rPr>
          <w:rFonts w:cs="Arial"/>
          <w:color w:val="000000"/>
          <w:shd w:val="clear" w:color="auto" w:fill="FFFFFF"/>
        </w:rPr>
        <w:t>o</w:t>
      </w:r>
      <w:r w:rsidR="00A618BA">
        <w:rPr>
          <w:rFonts w:cs="Arial"/>
          <w:color w:val="000000"/>
          <w:shd w:val="clear" w:color="auto" w:fill="FFFFFF"/>
        </w:rPr>
        <w:t>:</w:t>
      </w:r>
    </w:p>
    <w:p w14:paraId="4F6842BC" w14:textId="7CC7C00A" w:rsidR="00981560" w:rsidRPr="0040384F" w:rsidRDefault="0040384F" w:rsidP="0040384F">
      <w:pPr>
        <w:pStyle w:val="ListParagraph"/>
        <w:spacing w:after="240"/>
      </w:pPr>
      <w:r>
        <w:rPr>
          <w:shd w:val="clear" w:color="auto" w:fill="FFFFFF"/>
        </w:rPr>
        <w:t>A</w:t>
      </w:r>
      <w:r w:rsidR="003F227D" w:rsidRPr="003F227D">
        <w:rPr>
          <w:shd w:val="clear" w:color="auto" w:fill="FFFFFF"/>
        </w:rPr>
        <w:t xml:space="preserve">ll </w:t>
      </w:r>
      <w:r w:rsidR="00C97B9F">
        <w:rPr>
          <w:shd w:val="clear" w:color="auto" w:fill="FFFFFF"/>
        </w:rPr>
        <w:t>members of staff</w:t>
      </w:r>
      <w:r w:rsidR="00C97B9F" w:rsidRPr="003F227D">
        <w:rPr>
          <w:shd w:val="clear" w:color="auto" w:fill="FFFFFF"/>
        </w:rPr>
        <w:t xml:space="preserve"> </w:t>
      </w:r>
      <w:r w:rsidR="003F227D" w:rsidRPr="003F227D">
        <w:rPr>
          <w:shd w:val="clear" w:color="auto" w:fill="FFFFFF"/>
        </w:rPr>
        <w:t xml:space="preserve">of </w:t>
      </w:r>
      <w:r w:rsidR="00C97B9F">
        <w:rPr>
          <w:shd w:val="clear" w:color="auto" w:fill="FFFFFF"/>
        </w:rPr>
        <w:t xml:space="preserve">the </w:t>
      </w:r>
      <w:r w:rsidR="003F227D" w:rsidRPr="003F227D">
        <w:rPr>
          <w:shd w:val="clear" w:color="auto" w:fill="FFFFFF"/>
        </w:rPr>
        <w:t>National Library of Scotland</w:t>
      </w:r>
      <w:r w:rsidR="00174D58">
        <w:rPr>
          <w:shd w:val="clear" w:color="auto" w:fill="FFFFFF"/>
        </w:rPr>
        <w:t xml:space="preserve"> including employed staff, agency staff, work placements and volunteers</w:t>
      </w:r>
      <w:r w:rsidR="003F227D" w:rsidRPr="003F227D">
        <w:rPr>
          <w:shd w:val="clear" w:color="auto" w:fill="FFFFFF"/>
        </w:rPr>
        <w:t>.</w:t>
      </w:r>
    </w:p>
    <w:p w14:paraId="161F4742" w14:textId="4F22B0A8" w:rsidR="0040384F" w:rsidRPr="00F26D35" w:rsidRDefault="00555C9D" w:rsidP="0040384F">
      <w:pPr>
        <w:pStyle w:val="ListParagraph"/>
        <w:spacing w:after="240"/>
      </w:pPr>
      <w:r>
        <w:t>Library Board members.</w:t>
      </w:r>
    </w:p>
    <w:p w14:paraId="712EDE69" w14:textId="722DD62C" w:rsidR="006A354E" w:rsidRPr="00404D65" w:rsidRDefault="006874EC" w:rsidP="36C7B31F">
      <w:pPr>
        <w:pStyle w:val="Heading2"/>
        <w:spacing w:before="0" w:after="360"/>
      </w:pPr>
      <w:bookmarkStart w:id="7" w:name="_Toc174090728"/>
      <w:r>
        <w:t>Aim</w:t>
      </w:r>
      <w:bookmarkEnd w:id="7"/>
    </w:p>
    <w:p w14:paraId="638415BD" w14:textId="3A9F9ABC" w:rsidR="006678A8" w:rsidRPr="006678A8" w:rsidRDefault="006678A8" w:rsidP="006678A8">
      <w:pPr>
        <w:spacing w:after="360"/>
        <w:rPr>
          <w:rFonts w:cs="Arial"/>
          <w:color w:val="000000"/>
          <w:shd w:val="clear" w:color="auto" w:fill="FFFFFF"/>
        </w:rPr>
      </w:pPr>
      <w:r w:rsidRPr="006678A8">
        <w:rPr>
          <w:rFonts w:cs="Arial"/>
          <w:color w:val="000000"/>
          <w:shd w:val="clear" w:color="auto" w:fill="FFFFFF"/>
        </w:rPr>
        <w:t xml:space="preserve">The Library is committed to conducting its activities fairly, honestly and openly, and to the highest standards of integrity. As an organisation deriving a significant proportion of income from public funds and benefactors, the Library is committed to protecting the services it offers to its users and visitors, and its reputation.  </w:t>
      </w:r>
    </w:p>
    <w:p w14:paraId="5D42DC69" w14:textId="6D38E25F" w:rsidR="006678A8" w:rsidRPr="006678A8" w:rsidRDefault="006678A8" w:rsidP="006678A8">
      <w:pPr>
        <w:spacing w:after="360"/>
        <w:rPr>
          <w:rFonts w:cs="Arial"/>
          <w:color w:val="000000"/>
          <w:shd w:val="clear" w:color="auto" w:fill="FFFFFF"/>
        </w:rPr>
      </w:pPr>
      <w:r w:rsidRPr="006678A8">
        <w:rPr>
          <w:rFonts w:cs="Arial"/>
          <w:color w:val="000000"/>
          <w:shd w:val="clear" w:color="auto" w:fill="FFFFFF"/>
        </w:rPr>
        <w:t>The Library has no tolerance of fraud and is committed to taking all practicable steps to prevent all types of fraud within the organisation (internal fraud) and to prevent the organisation being defrauded by external bodies (external fraud).</w:t>
      </w:r>
    </w:p>
    <w:p w14:paraId="6B3208D0" w14:textId="3995F139" w:rsidR="005D016C" w:rsidRPr="00691FD4" w:rsidRDefault="006678A8" w:rsidP="006678A8">
      <w:pPr>
        <w:spacing w:after="360"/>
        <w:rPr>
          <w:rFonts w:cs="Arial"/>
          <w:color w:val="000000"/>
          <w:shd w:val="clear" w:color="auto" w:fill="FFFFFF"/>
        </w:rPr>
      </w:pPr>
      <w:r w:rsidRPr="006678A8">
        <w:rPr>
          <w:rFonts w:cs="Arial"/>
          <w:color w:val="000000"/>
          <w:shd w:val="clear" w:color="auto" w:fill="FFFFFF"/>
        </w:rPr>
        <w:t>The Library also participates every two years in the National Fraud Initiative (NFI) in Scotland, a counter-fraud exercise led by Audit Scotland. It uses computerised techniques to compare information about individuals held by different public bodies, and on different financial systems that might suggest the existence of fraud or error.  The Library actively follows up to investigate where any cross</w:t>
      </w:r>
      <w:r w:rsidR="000B6C65">
        <w:rPr>
          <w:rFonts w:cs="Arial"/>
          <w:color w:val="000000"/>
          <w:shd w:val="clear" w:color="auto" w:fill="FFFFFF"/>
        </w:rPr>
        <w:t>-</w:t>
      </w:r>
      <w:r w:rsidRPr="006678A8">
        <w:rPr>
          <w:rFonts w:cs="Arial"/>
          <w:color w:val="000000"/>
          <w:shd w:val="clear" w:color="auto" w:fill="FFFFFF"/>
        </w:rPr>
        <w:t>matching instances are identified.</w:t>
      </w:r>
    </w:p>
    <w:p w14:paraId="055A5225" w14:textId="3D7CCB0A" w:rsidR="00A40A26" w:rsidRDefault="001820D6" w:rsidP="36C7B31F">
      <w:pPr>
        <w:pStyle w:val="Heading2"/>
        <w:spacing w:before="0" w:after="360"/>
      </w:pPr>
      <w:bookmarkStart w:id="8" w:name="_Toc174090729"/>
      <w:r>
        <w:t>Purpose</w:t>
      </w:r>
      <w:bookmarkEnd w:id="8"/>
    </w:p>
    <w:p w14:paraId="6C056AA0" w14:textId="68EE23D1" w:rsidR="002F6324" w:rsidRPr="002F6324" w:rsidRDefault="002F6324" w:rsidP="002F6324">
      <w:pPr>
        <w:spacing w:after="360"/>
        <w:rPr>
          <w:rFonts w:cs="Arial"/>
          <w:color w:val="000000"/>
          <w:shd w:val="clear" w:color="auto" w:fill="FFFFFF"/>
        </w:rPr>
      </w:pPr>
      <w:r w:rsidRPr="002F6324">
        <w:rPr>
          <w:rFonts w:cs="Arial"/>
          <w:color w:val="000000"/>
          <w:shd w:val="clear" w:color="auto" w:fill="FFFFFF"/>
        </w:rPr>
        <w:t xml:space="preserve">This document gives guidance on the prevention of fraud.  </w:t>
      </w:r>
    </w:p>
    <w:p w14:paraId="26D871D7" w14:textId="1A3AB687" w:rsidR="002F6324" w:rsidRPr="002F6324" w:rsidRDefault="002F6324" w:rsidP="002F6324">
      <w:pPr>
        <w:spacing w:after="360"/>
        <w:rPr>
          <w:rFonts w:cs="Arial"/>
          <w:color w:val="000000"/>
          <w:shd w:val="clear" w:color="auto" w:fill="FFFFFF"/>
        </w:rPr>
      </w:pPr>
      <w:r w:rsidRPr="002F6324">
        <w:rPr>
          <w:rFonts w:cs="Arial"/>
          <w:color w:val="000000"/>
          <w:shd w:val="clear" w:color="auto" w:fill="FFFFFF"/>
        </w:rPr>
        <w:t>The Library is more likely to deter fraudsters if we are fully aware of the risks, keep control systems under regular review and respond effectively whenever fraud is suspected or discovered.</w:t>
      </w:r>
    </w:p>
    <w:p w14:paraId="201AB725" w14:textId="69C95528" w:rsidR="00487526" w:rsidRPr="00691FD4" w:rsidRDefault="002F6324" w:rsidP="002F6324">
      <w:pPr>
        <w:spacing w:after="360"/>
        <w:rPr>
          <w:rFonts w:cs="Arial"/>
          <w:color w:val="000000"/>
          <w:shd w:val="clear" w:color="auto" w:fill="FFFFFF"/>
        </w:rPr>
      </w:pPr>
      <w:r w:rsidRPr="002F6324">
        <w:rPr>
          <w:rFonts w:cs="Arial"/>
          <w:color w:val="000000"/>
          <w:shd w:val="clear" w:color="auto" w:fill="FFFFFF"/>
        </w:rPr>
        <w:lastRenderedPageBreak/>
        <w:t>If fraud is suspected, please refer to the Library</w:t>
      </w:r>
      <w:r w:rsidR="00147B23">
        <w:rPr>
          <w:rFonts w:cs="Arial"/>
          <w:color w:val="000000"/>
          <w:shd w:val="clear" w:color="auto" w:fill="FFFFFF"/>
        </w:rPr>
        <w:t>'</w:t>
      </w:r>
      <w:r w:rsidRPr="002F6324">
        <w:rPr>
          <w:rFonts w:cs="Arial"/>
          <w:color w:val="000000"/>
          <w:shd w:val="clear" w:color="auto" w:fill="FFFFFF"/>
        </w:rPr>
        <w:t>s Fraud Response Policy.</w:t>
      </w:r>
    </w:p>
    <w:p w14:paraId="6756351B" w14:textId="6DC6E118" w:rsidR="006A354E" w:rsidRDefault="00E264C5" w:rsidP="36C7B31F">
      <w:pPr>
        <w:pStyle w:val="Heading2"/>
        <w:spacing w:before="0" w:after="360"/>
        <w:rPr>
          <w:shd w:val="clear" w:color="auto" w:fill="FFFFFF"/>
        </w:rPr>
      </w:pPr>
      <w:bookmarkStart w:id="9" w:name="_Toc174090730"/>
      <w:r>
        <w:t>Principles</w:t>
      </w:r>
      <w:bookmarkEnd w:id="9"/>
    </w:p>
    <w:p w14:paraId="3CBF966A" w14:textId="18AF9425" w:rsidR="00695B18" w:rsidRPr="00413F10" w:rsidRDefault="00695B18" w:rsidP="00413F10">
      <w:pPr>
        <w:pStyle w:val="ListParagraph"/>
        <w:spacing w:after="240"/>
      </w:pPr>
      <w:r w:rsidRPr="00413F10">
        <w:t>Library staff have a duty to prevent fraud and to co-operate in the detection of fraud, as well as to act with the highest standard of integrity in exercising their duties.</w:t>
      </w:r>
    </w:p>
    <w:p w14:paraId="1CFA2D9D" w14:textId="30AAFF0C" w:rsidR="00695B18" w:rsidRPr="00413F10" w:rsidRDefault="00695B18" w:rsidP="00413F10">
      <w:pPr>
        <w:pStyle w:val="ListParagraph"/>
        <w:spacing w:after="240"/>
      </w:pPr>
      <w:r w:rsidRPr="00413F10">
        <w:t xml:space="preserve">The existence of proper controls lessens the opportunity for fraud. </w:t>
      </w:r>
    </w:p>
    <w:p w14:paraId="44B48FFD" w14:textId="5056A94C" w:rsidR="00695B18" w:rsidRPr="00413F10" w:rsidRDefault="00695B18" w:rsidP="00413F10">
      <w:pPr>
        <w:pStyle w:val="ListParagraph"/>
        <w:spacing w:after="240"/>
      </w:pPr>
      <w:r w:rsidRPr="00413F10">
        <w:t>Managers have responsibility for designing, operating and reviewing control systems to minimise the risk of fraud occurring.</w:t>
      </w:r>
    </w:p>
    <w:p w14:paraId="5E04C057" w14:textId="300C5B7F" w:rsidR="00695B18" w:rsidRPr="00413F10" w:rsidRDefault="00695B18" w:rsidP="00413F10">
      <w:pPr>
        <w:pStyle w:val="ListParagraph"/>
        <w:spacing w:after="240"/>
      </w:pPr>
      <w:r w:rsidRPr="00413F10">
        <w:t xml:space="preserve">Procedures set up to prevent and detect fraud must be followed without exception. Many frauds are due to failures to comply with existing control procedures, policies and regulations. </w:t>
      </w:r>
    </w:p>
    <w:p w14:paraId="7753A4DD" w14:textId="5C31BB62" w:rsidR="00695B18" w:rsidRPr="00413F10" w:rsidRDefault="00695B18" w:rsidP="00413F10">
      <w:pPr>
        <w:pStyle w:val="ListParagraph"/>
        <w:spacing w:after="240"/>
      </w:pPr>
      <w:r w:rsidRPr="00413F10">
        <w:t>The Library will not victimise or otherwise disadvantage staff who raise concerns about fraudulent activity in good faith, even if the allegations turn out to be unfounded (</w:t>
      </w:r>
      <w:r w:rsidR="00E15C36">
        <w:t>p</w:t>
      </w:r>
      <w:r w:rsidRPr="00413F10">
        <w:t>lease also refer to the Whistleblowing Policy</w:t>
      </w:r>
      <w:r w:rsidR="00E15C36">
        <w:t>).</w:t>
      </w:r>
    </w:p>
    <w:p w14:paraId="591B6DFF" w14:textId="6FF34AF8" w:rsidR="00C62BCF" w:rsidRPr="00413F10" w:rsidRDefault="00695B18" w:rsidP="00413F10">
      <w:pPr>
        <w:pStyle w:val="ListParagraph"/>
        <w:spacing w:after="240"/>
      </w:pPr>
      <w:r w:rsidRPr="00413F10">
        <w:t>Internal and external auditors will from time to time carry out independent reviews of systems and the adequacy of controls in place.</w:t>
      </w:r>
    </w:p>
    <w:p w14:paraId="6A45FAFC" w14:textId="00C7B40D" w:rsidR="0065267F" w:rsidRPr="000933BA" w:rsidRDefault="00C52385" w:rsidP="000933BA">
      <w:pPr>
        <w:pStyle w:val="Heading2"/>
        <w:spacing w:after="360"/>
      </w:pPr>
      <w:bookmarkStart w:id="10" w:name="_Toc174090731"/>
      <w:r>
        <w:t xml:space="preserve">Definition of </w:t>
      </w:r>
      <w:r w:rsidR="005308DD">
        <w:t>f</w:t>
      </w:r>
      <w:r>
        <w:t>raud</w:t>
      </w:r>
      <w:bookmarkEnd w:id="10"/>
    </w:p>
    <w:p w14:paraId="7A8B526C" w14:textId="06C24B0A" w:rsidR="005E6F37" w:rsidRPr="005E6F37" w:rsidRDefault="005E6F37" w:rsidP="005E6F37">
      <w:pPr>
        <w:spacing w:after="360"/>
        <w:rPr>
          <w:rFonts w:cs="Arial"/>
          <w:color w:val="000000"/>
          <w:shd w:val="clear" w:color="auto" w:fill="FFFFFF"/>
        </w:rPr>
      </w:pPr>
      <w:r w:rsidRPr="005E6F37">
        <w:rPr>
          <w:rFonts w:cs="Arial"/>
          <w:color w:val="000000"/>
          <w:shd w:val="clear" w:color="auto" w:fill="FFFFFF"/>
        </w:rPr>
        <w:t>Fraud is defined as the obtaining of financial advantage or causing loss by implicit or explicit deception. This can include</w:t>
      </w:r>
      <w:r w:rsidR="00A618BA">
        <w:rPr>
          <w:rFonts w:cs="Arial"/>
          <w:color w:val="000000"/>
          <w:shd w:val="clear" w:color="auto" w:fill="FFFFFF"/>
        </w:rPr>
        <w:t>:</w:t>
      </w:r>
    </w:p>
    <w:p w14:paraId="4DE5F684" w14:textId="4D92B51B" w:rsidR="005E6F37" w:rsidRPr="005A09C1" w:rsidRDefault="005E6F37" w:rsidP="005A09C1">
      <w:pPr>
        <w:pStyle w:val="ListParagraph"/>
        <w:spacing w:after="240"/>
      </w:pPr>
      <w:r w:rsidRPr="005A09C1">
        <w:t>Making false representation</w:t>
      </w:r>
      <w:r w:rsidR="003B15E9">
        <w:t>.</w:t>
      </w:r>
    </w:p>
    <w:p w14:paraId="0A2EF468" w14:textId="103AA959" w:rsidR="005E6F37" w:rsidRPr="005A09C1" w:rsidRDefault="005E6F37" w:rsidP="005A09C1">
      <w:pPr>
        <w:pStyle w:val="ListParagraph"/>
        <w:spacing w:after="240"/>
      </w:pPr>
      <w:r w:rsidRPr="005A09C1">
        <w:t>Failing to disclose relevant information</w:t>
      </w:r>
      <w:r w:rsidR="003B15E9">
        <w:t>.</w:t>
      </w:r>
    </w:p>
    <w:p w14:paraId="4662F413" w14:textId="357F7B52" w:rsidR="005E6F37" w:rsidRPr="005A09C1" w:rsidRDefault="005E6F37" w:rsidP="005A09C1">
      <w:pPr>
        <w:pStyle w:val="ListParagraph"/>
        <w:spacing w:after="240"/>
      </w:pPr>
      <w:r w:rsidRPr="005A09C1">
        <w:t>Forgery</w:t>
      </w:r>
      <w:r w:rsidR="003B15E9">
        <w:t>.</w:t>
      </w:r>
    </w:p>
    <w:p w14:paraId="5D3A62E1" w14:textId="76AAD745" w:rsidR="005E6F37" w:rsidRPr="005A09C1" w:rsidRDefault="005E6F37" w:rsidP="005A09C1">
      <w:pPr>
        <w:pStyle w:val="ListParagraph"/>
        <w:spacing w:after="240"/>
      </w:pPr>
      <w:r w:rsidRPr="005A09C1">
        <w:t>Abuse of position</w:t>
      </w:r>
      <w:r w:rsidR="003B15E9">
        <w:t>.</w:t>
      </w:r>
    </w:p>
    <w:p w14:paraId="23F033BF" w14:textId="77777777" w:rsidR="005E6F37" w:rsidRPr="005E6F37" w:rsidRDefault="005E6F37" w:rsidP="005E6F37">
      <w:pPr>
        <w:spacing w:after="360"/>
        <w:rPr>
          <w:rFonts w:cs="Arial"/>
          <w:color w:val="000000"/>
          <w:shd w:val="clear" w:color="auto" w:fill="FFFFFF"/>
        </w:rPr>
      </w:pPr>
      <w:r w:rsidRPr="005E6F37">
        <w:rPr>
          <w:rFonts w:cs="Arial"/>
          <w:color w:val="000000"/>
          <w:shd w:val="clear" w:color="auto" w:fill="FFFFFF"/>
        </w:rPr>
        <w:t>Attempted fraud is treated as seriously as accomplished fraud and is also considered a criminal activity.</w:t>
      </w:r>
    </w:p>
    <w:p w14:paraId="50FDF057" w14:textId="0CAAC98B" w:rsidR="005E6F37" w:rsidRPr="005E6F37" w:rsidRDefault="005E6F37" w:rsidP="005E6F37">
      <w:pPr>
        <w:spacing w:after="360"/>
        <w:rPr>
          <w:rFonts w:cs="Arial"/>
          <w:color w:val="000000"/>
          <w:shd w:val="clear" w:color="auto" w:fill="FFFFFF"/>
        </w:rPr>
      </w:pPr>
      <w:r w:rsidRPr="005E6F37">
        <w:rPr>
          <w:rFonts w:cs="Arial"/>
          <w:color w:val="000000"/>
          <w:shd w:val="clear" w:color="auto" w:fill="FFFFFF"/>
        </w:rPr>
        <w:lastRenderedPageBreak/>
        <w:t>Fraud can be carried out by single members of staff, contractors, users of our services or by groups of people acting together. Fraud can be carried out online and it is also important to follow all IT policies including the Information Security Policy and Acceptable Use of ICT Equipment Policy.</w:t>
      </w:r>
    </w:p>
    <w:p w14:paraId="38FA1E29" w14:textId="1AC7E7D3" w:rsidR="005E6F37" w:rsidRPr="005E6F37" w:rsidRDefault="005E6F37" w:rsidP="005E6F37">
      <w:pPr>
        <w:spacing w:after="360"/>
        <w:rPr>
          <w:rFonts w:cs="Arial"/>
          <w:color w:val="000000"/>
          <w:shd w:val="clear" w:color="auto" w:fill="FFFFFF"/>
        </w:rPr>
      </w:pPr>
      <w:r w:rsidRPr="005E6F37">
        <w:rPr>
          <w:rFonts w:cs="Arial"/>
          <w:color w:val="000000"/>
          <w:shd w:val="clear" w:color="auto" w:fill="FFFFFF"/>
        </w:rPr>
        <w:t>Fraud can include</w:t>
      </w:r>
      <w:r w:rsidR="00A618BA">
        <w:rPr>
          <w:rFonts w:cs="Arial"/>
          <w:color w:val="000000"/>
          <w:shd w:val="clear" w:color="auto" w:fill="FFFFFF"/>
        </w:rPr>
        <w:t>:</w:t>
      </w:r>
    </w:p>
    <w:p w14:paraId="6E63DB97" w14:textId="5DA53CD7" w:rsidR="005E6F37" w:rsidRPr="005E6F37" w:rsidRDefault="005E6F37" w:rsidP="005A09C1">
      <w:pPr>
        <w:pStyle w:val="ListParagraph"/>
        <w:spacing w:after="240"/>
        <w:rPr>
          <w:shd w:val="clear" w:color="auto" w:fill="FFFFFF"/>
        </w:rPr>
      </w:pPr>
      <w:r w:rsidRPr="005E6F37">
        <w:rPr>
          <w:shd w:val="clear" w:color="auto" w:fill="FFFFFF"/>
        </w:rPr>
        <w:t>Theft or misappropriation of money or other assets such as stationery supplies or equipment.</w:t>
      </w:r>
    </w:p>
    <w:p w14:paraId="07EC21C0" w14:textId="75B94094" w:rsidR="005E6F37" w:rsidRPr="005E6F37" w:rsidRDefault="005E6F37" w:rsidP="005A09C1">
      <w:pPr>
        <w:pStyle w:val="ListParagraph"/>
        <w:spacing w:after="240"/>
        <w:rPr>
          <w:shd w:val="clear" w:color="auto" w:fill="FFFFFF"/>
        </w:rPr>
      </w:pPr>
      <w:r w:rsidRPr="005E6F37">
        <w:rPr>
          <w:shd w:val="clear" w:color="auto" w:fill="FFFFFF"/>
        </w:rPr>
        <w:t>Theft of collection items.</w:t>
      </w:r>
    </w:p>
    <w:p w14:paraId="08D779D3" w14:textId="22BC5072" w:rsidR="005E6F37" w:rsidRPr="005E6F37" w:rsidRDefault="005E6F37" w:rsidP="005A09C1">
      <w:pPr>
        <w:pStyle w:val="ListParagraph"/>
        <w:spacing w:after="240"/>
        <w:rPr>
          <w:shd w:val="clear" w:color="auto" w:fill="FFFFFF"/>
        </w:rPr>
      </w:pPr>
      <w:r w:rsidRPr="005E6F37">
        <w:rPr>
          <w:shd w:val="clear" w:color="auto" w:fill="FFFFFF"/>
        </w:rPr>
        <w:t>Diversion of income.</w:t>
      </w:r>
    </w:p>
    <w:p w14:paraId="4D695A89" w14:textId="6095323A" w:rsidR="005E6F37" w:rsidRPr="005E6F37" w:rsidRDefault="005E6F37" w:rsidP="005A09C1">
      <w:pPr>
        <w:pStyle w:val="ListParagraph"/>
        <w:spacing w:after="240"/>
        <w:rPr>
          <w:shd w:val="clear" w:color="auto" w:fill="FFFFFF"/>
        </w:rPr>
      </w:pPr>
      <w:r w:rsidRPr="005E6F37">
        <w:rPr>
          <w:shd w:val="clear" w:color="auto" w:fill="FFFFFF"/>
        </w:rPr>
        <w:t>Breaches of procurement rules for personal or family gain.</w:t>
      </w:r>
    </w:p>
    <w:p w14:paraId="5DC30D2A" w14:textId="708C9DC9" w:rsidR="005E6F37" w:rsidRPr="005E6F37" w:rsidRDefault="005E6F37" w:rsidP="005A09C1">
      <w:pPr>
        <w:pStyle w:val="ListParagraph"/>
        <w:spacing w:after="240"/>
        <w:rPr>
          <w:shd w:val="clear" w:color="auto" w:fill="FFFFFF"/>
        </w:rPr>
      </w:pPr>
      <w:r w:rsidRPr="005E6F37">
        <w:rPr>
          <w:shd w:val="clear" w:color="auto" w:fill="FFFFFF"/>
        </w:rPr>
        <w:t>Misuse of goods and services for an unauthorised purpose.</w:t>
      </w:r>
    </w:p>
    <w:p w14:paraId="1EDCE478" w14:textId="2DAD724A" w:rsidR="005E6F37" w:rsidRPr="005E6F37" w:rsidRDefault="005E6F37" w:rsidP="005A09C1">
      <w:pPr>
        <w:pStyle w:val="ListParagraph"/>
        <w:spacing w:after="240"/>
        <w:rPr>
          <w:shd w:val="clear" w:color="auto" w:fill="FFFFFF"/>
        </w:rPr>
      </w:pPr>
      <w:r w:rsidRPr="005E6F37">
        <w:rPr>
          <w:shd w:val="clear" w:color="auto" w:fill="FFFFFF"/>
        </w:rPr>
        <w:t xml:space="preserve">Misuse or falsification of expenses. </w:t>
      </w:r>
    </w:p>
    <w:p w14:paraId="1B358BC4" w14:textId="798854BA" w:rsidR="005E6F37" w:rsidRPr="005E6F37" w:rsidRDefault="005E6F37" w:rsidP="005A09C1">
      <w:pPr>
        <w:pStyle w:val="ListParagraph"/>
        <w:spacing w:after="240"/>
        <w:rPr>
          <w:shd w:val="clear" w:color="auto" w:fill="FFFFFF"/>
        </w:rPr>
      </w:pPr>
      <w:r w:rsidRPr="005E6F37">
        <w:rPr>
          <w:shd w:val="clear" w:color="auto" w:fill="FFFFFF"/>
        </w:rPr>
        <w:t xml:space="preserve">Illegal invoices. </w:t>
      </w:r>
    </w:p>
    <w:p w14:paraId="703F8C35" w14:textId="5F1F087D" w:rsidR="005E6F37" w:rsidRPr="005E6F37" w:rsidRDefault="00885A60" w:rsidP="005A09C1">
      <w:pPr>
        <w:pStyle w:val="ListParagraph"/>
        <w:spacing w:after="240"/>
        <w:rPr>
          <w:shd w:val="clear" w:color="auto" w:fill="FFFFFF"/>
        </w:rPr>
      </w:pPr>
      <w:r w:rsidRPr="005E6F37">
        <w:rPr>
          <w:shd w:val="clear" w:color="auto" w:fill="FFFFFF"/>
        </w:rPr>
        <w:t>Double billing</w:t>
      </w:r>
      <w:r w:rsidR="005E6F37" w:rsidRPr="005E6F37">
        <w:rPr>
          <w:shd w:val="clear" w:color="auto" w:fill="FFFFFF"/>
        </w:rPr>
        <w:t xml:space="preserve"> for the same delivery. </w:t>
      </w:r>
    </w:p>
    <w:p w14:paraId="50F2BB53" w14:textId="7D5BDF57" w:rsidR="005E6F37" w:rsidRPr="005E6F37" w:rsidRDefault="005E6F37" w:rsidP="005A09C1">
      <w:pPr>
        <w:pStyle w:val="ListParagraph"/>
        <w:spacing w:after="240"/>
        <w:rPr>
          <w:shd w:val="clear" w:color="auto" w:fill="FFFFFF"/>
        </w:rPr>
      </w:pPr>
      <w:r w:rsidRPr="005E6F37">
        <w:rPr>
          <w:shd w:val="clear" w:color="auto" w:fill="FFFFFF"/>
        </w:rPr>
        <w:t>Misrepresented quality or value of purchased materials.</w:t>
      </w:r>
    </w:p>
    <w:p w14:paraId="0B09328D" w14:textId="7323AE4A" w:rsidR="005E6F37" w:rsidRPr="005E6F37" w:rsidRDefault="005E6F37" w:rsidP="005A09C1">
      <w:pPr>
        <w:pStyle w:val="ListParagraph"/>
        <w:spacing w:after="240"/>
        <w:rPr>
          <w:shd w:val="clear" w:color="auto" w:fill="FFFFFF"/>
        </w:rPr>
      </w:pPr>
      <w:r w:rsidRPr="005E6F37">
        <w:rPr>
          <w:shd w:val="clear" w:color="auto" w:fill="FFFFFF"/>
        </w:rPr>
        <w:t xml:space="preserve">Money transfer fraud, e.g. via scam emails or phone calls. </w:t>
      </w:r>
    </w:p>
    <w:p w14:paraId="3F003FB5" w14:textId="48987770" w:rsidR="005E6F37" w:rsidRPr="005E6F37" w:rsidRDefault="005E6F37" w:rsidP="005E6F37">
      <w:pPr>
        <w:spacing w:after="360"/>
        <w:rPr>
          <w:rFonts w:cs="Arial"/>
          <w:color w:val="000000"/>
          <w:shd w:val="clear" w:color="auto" w:fill="FFFFFF"/>
        </w:rPr>
      </w:pPr>
      <w:r w:rsidRPr="005E6F37">
        <w:rPr>
          <w:rFonts w:cs="Arial"/>
          <w:color w:val="000000"/>
          <w:shd w:val="clear" w:color="auto" w:fill="FFFFFF"/>
        </w:rPr>
        <w:t>Fraud techniques are varied but can include</w:t>
      </w:r>
      <w:r w:rsidR="001E4967">
        <w:rPr>
          <w:rFonts w:cs="Arial"/>
          <w:color w:val="000000"/>
          <w:shd w:val="clear" w:color="auto" w:fill="FFFFFF"/>
        </w:rPr>
        <w:t xml:space="preserve"> the below. </w:t>
      </w:r>
      <w:r w:rsidR="001E4967" w:rsidRPr="001E4967">
        <w:rPr>
          <w:rFonts w:cs="Arial"/>
          <w:color w:val="000000"/>
          <w:shd w:val="clear" w:color="auto" w:fill="FFFFFF"/>
        </w:rPr>
        <w:t>The higher the stakes, the more elaborate the operation can be.</w:t>
      </w:r>
    </w:p>
    <w:p w14:paraId="0798D734" w14:textId="57DBF1F8" w:rsidR="005E6F37" w:rsidRPr="005E6F37" w:rsidRDefault="005E6F37" w:rsidP="00A91D14">
      <w:pPr>
        <w:pStyle w:val="ListParagraph"/>
        <w:spacing w:after="240"/>
        <w:rPr>
          <w:shd w:val="clear" w:color="auto" w:fill="FFFFFF"/>
        </w:rPr>
      </w:pPr>
      <w:r w:rsidRPr="005E6F37">
        <w:rPr>
          <w:shd w:val="clear" w:color="auto" w:fill="FFFFFF"/>
        </w:rPr>
        <w:t>Making false statements.</w:t>
      </w:r>
    </w:p>
    <w:p w14:paraId="0D848E35" w14:textId="1625B596" w:rsidR="005E6F37" w:rsidRPr="005E6F37" w:rsidRDefault="005E6F37" w:rsidP="00A91D14">
      <w:pPr>
        <w:pStyle w:val="ListParagraph"/>
        <w:spacing w:after="240"/>
        <w:rPr>
          <w:shd w:val="clear" w:color="auto" w:fill="FFFFFF"/>
        </w:rPr>
      </w:pPr>
      <w:r w:rsidRPr="005E6F37">
        <w:rPr>
          <w:shd w:val="clear" w:color="auto" w:fill="FFFFFF"/>
        </w:rPr>
        <w:t>Falsifying records.</w:t>
      </w:r>
    </w:p>
    <w:p w14:paraId="31503017" w14:textId="761703ED" w:rsidR="005E6F37" w:rsidRPr="005E6F37" w:rsidRDefault="005E6F37" w:rsidP="00A91D14">
      <w:pPr>
        <w:pStyle w:val="ListParagraph"/>
        <w:spacing w:after="240"/>
        <w:rPr>
          <w:shd w:val="clear" w:color="auto" w:fill="FFFFFF"/>
        </w:rPr>
      </w:pPr>
      <w:r w:rsidRPr="005E6F37">
        <w:rPr>
          <w:shd w:val="clear" w:color="auto" w:fill="FFFFFF"/>
        </w:rPr>
        <w:t>Setting up bank accounts and diverting funds to them.</w:t>
      </w:r>
    </w:p>
    <w:p w14:paraId="6C51BBF8" w14:textId="1EB02C24" w:rsidR="005E6F37" w:rsidRPr="005E6F37" w:rsidRDefault="005E6F37" w:rsidP="00A91D14">
      <w:pPr>
        <w:pStyle w:val="ListParagraph"/>
        <w:spacing w:after="240"/>
        <w:rPr>
          <w:shd w:val="clear" w:color="auto" w:fill="FFFFFF"/>
        </w:rPr>
      </w:pPr>
      <w:r w:rsidRPr="005E6F37">
        <w:rPr>
          <w:shd w:val="clear" w:color="auto" w:fill="FFFFFF"/>
        </w:rPr>
        <w:t>Rigging procurement processes.</w:t>
      </w:r>
    </w:p>
    <w:p w14:paraId="16A4FC3A" w14:textId="21BF2776" w:rsidR="005E6F37" w:rsidRPr="005E6F37" w:rsidRDefault="005E6F37" w:rsidP="00A91D14">
      <w:pPr>
        <w:pStyle w:val="ListParagraph"/>
        <w:spacing w:after="240"/>
        <w:rPr>
          <w:shd w:val="clear" w:color="auto" w:fill="FFFFFF"/>
        </w:rPr>
      </w:pPr>
      <w:r w:rsidRPr="005E6F37">
        <w:rPr>
          <w:shd w:val="clear" w:color="auto" w:fill="FFFFFF"/>
        </w:rPr>
        <w:t>Falsifying copyright ownership.</w:t>
      </w:r>
    </w:p>
    <w:p w14:paraId="1875084D" w14:textId="0CD41DD3" w:rsidR="165B6232" w:rsidRPr="00A91D14" w:rsidRDefault="00A91D14" w:rsidP="00225CD7">
      <w:pPr>
        <w:pStyle w:val="ListParagraph"/>
        <w:spacing w:after="240"/>
        <w:rPr>
          <w:shd w:val="clear" w:color="auto" w:fill="FFFFFF"/>
        </w:rPr>
      </w:pPr>
      <w:r>
        <w:rPr>
          <w:shd w:val="clear" w:color="auto" w:fill="FFFFFF"/>
        </w:rPr>
        <w:t>T</w:t>
      </w:r>
      <w:r w:rsidR="005E6F37" w:rsidRPr="005E6F37">
        <w:rPr>
          <w:shd w:val="clear" w:color="auto" w:fill="FFFFFF"/>
        </w:rPr>
        <w:t xml:space="preserve">ampering with computer systems. </w:t>
      </w:r>
    </w:p>
    <w:p w14:paraId="16637123" w14:textId="6BD552FB" w:rsidR="003613D1" w:rsidRDefault="009153B3" w:rsidP="36C7B31F">
      <w:pPr>
        <w:pStyle w:val="Heading2"/>
        <w:spacing w:before="0" w:after="360"/>
        <w:rPr>
          <w:shd w:val="clear" w:color="auto" w:fill="FFFFFF"/>
        </w:rPr>
      </w:pPr>
      <w:bookmarkStart w:id="11" w:name="_Toc174090732"/>
      <w:r>
        <w:rPr>
          <w:shd w:val="clear" w:color="auto" w:fill="FFFFFF"/>
        </w:rPr>
        <w:t xml:space="preserve">Danger </w:t>
      </w:r>
      <w:r w:rsidR="001D0EFF">
        <w:rPr>
          <w:shd w:val="clear" w:color="auto" w:fill="FFFFFF"/>
        </w:rPr>
        <w:t>s</w:t>
      </w:r>
      <w:r>
        <w:rPr>
          <w:shd w:val="clear" w:color="auto" w:fill="FFFFFF"/>
        </w:rPr>
        <w:t xml:space="preserve">igns – </w:t>
      </w:r>
      <w:r w:rsidR="001D0EFF">
        <w:rPr>
          <w:shd w:val="clear" w:color="auto" w:fill="FFFFFF"/>
        </w:rPr>
        <w:t>i</w:t>
      </w:r>
      <w:r>
        <w:rPr>
          <w:shd w:val="clear" w:color="auto" w:fill="FFFFFF"/>
        </w:rPr>
        <w:t xml:space="preserve">nternal </w:t>
      </w:r>
      <w:r w:rsidR="001D0EFF">
        <w:rPr>
          <w:shd w:val="clear" w:color="auto" w:fill="FFFFFF"/>
        </w:rPr>
        <w:t>f</w:t>
      </w:r>
      <w:r>
        <w:rPr>
          <w:shd w:val="clear" w:color="auto" w:fill="FFFFFF"/>
        </w:rPr>
        <w:t>raud</w:t>
      </w:r>
      <w:bookmarkEnd w:id="11"/>
    </w:p>
    <w:p w14:paraId="300402F7" w14:textId="29D7B84F" w:rsidR="00664CB8" w:rsidRDefault="00664CB8" w:rsidP="00A91D14">
      <w:pPr>
        <w:pStyle w:val="ListParagraph"/>
        <w:spacing w:after="240"/>
      </w:pPr>
      <w:r>
        <w:t>Evidence of excessive spending by staff engaged in cash/contract work.</w:t>
      </w:r>
    </w:p>
    <w:p w14:paraId="24F2994B" w14:textId="7EEA5069" w:rsidR="00664CB8" w:rsidRDefault="00664CB8" w:rsidP="00A91D14">
      <w:pPr>
        <w:pStyle w:val="ListParagraph"/>
        <w:spacing w:after="240"/>
      </w:pPr>
      <w:r>
        <w:t>Inappropriate relationships with suppliers.</w:t>
      </w:r>
    </w:p>
    <w:p w14:paraId="09EFAABD" w14:textId="09DD56B5" w:rsidR="00664CB8" w:rsidRDefault="00664CB8" w:rsidP="00A91D14">
      <w:pPr>
        <w:pStyle w:val="ListParagraph"/>
        <w:spacing w:after="240"/>
      </w:pPr>
      <w:r>
        <w:lastRenderedPageBreak/>
        <w:t>Reluctance of staff to take leave.</w:t>
      </w:r>
    </w:p>
    <w:p w14:paraId="4A75DBFE" w14:textId="3114EDE7" w:rsidR="00664CB8" w:rsidRDefault="00664CB8" w:rsidP="00A91D14">
      <w:pPr>
        <w:pStyle w:val="ListParagraph"/>
        <w:spacing w:after="240"/>
      </w:pPr>
      <w:r>
        <w:t>Requests for unusual patterns of overtime.</w:t>
      </w:r>
    </w:p>
    <w:p w14:paraId="2685761E" w14:textId="550F0471" w:rsidR="00664CB8" w:rsidRDefault="00664CB8" w:rsidP="00A91D14">
      <w:pPr>
        <w:pStyle w:val="ListParagraph"/>
        <w:spacing w:after="240"/>
      </w:pPr>
      <w:r>
        <w:t xml:space="preserve">Undue possessiveness of records.  </w:t>
      </w:r>
    </w:p>
    <w:p w14:paraId="69112461" w14:textId="77777777" w:rsidR="00664CB8" w:rsidRDefault="00664CB8" w:rsidP="00664CB8">
      <w:pPr>
        <w:spacing w:after="360"/>
      </w:pPr>
      <w:r>
        <w:t>Reluctance to take leave and over-possessiveness of records could suggest there is something to hide, and abnormal patterns of overtime could be used to achieve unauthorised access to records and systems.</w:t>
      </w:r>
    </w:p>
    <w:p w14:paraId="15BD7FC1" w14:textId="77777777" w:rsidR="00992E16" w:rsidRDefault="00664CB8" w:rsidP="00664CB8">
      <w:pPr>
        <w:spacing w:after="360"/>
      </w:pPr>
      <w:r>
        <w:t xml:space="preserve">Junior staff should resist any pressure from line management to circumvent internal controls or to over-ride control mechanisms. Such action could be indicative of fraudulent activity and should be reported.  </w:t>
      </w:r>
    </w:p>
    <w:p w14:paraId="6E99D64F" w14:textId="48BDE271" w:rsidR="00992E16" w:rsidRPr="00992E16" w:rsidRDefault="00992E16" w:rsidP="00992E16">
      <w:pPr>
        <w:pStyle w:val="Heading2"/>
        <w:spacing w:after="360"/>
        <w:rPr>
          <w:bCs/>
          <w:szCs w:val="28"/>
        </w:rPr>
      </w:pPr>
      <w:bookmarkStart w:id="12" w:name="_Toc174090733"/>
      <w:r>
        <w:t>Responsibilities</w:t>
      </w:r>
      <w:bookmarkEnd w:id="12"/>
    </w:p>
    <w:p w14:paraId="6EA924FD" w14:textId="591DD08A" w:rsidR="008311C4" w:rsidRDefault="008311C4" w:rsidP="00123DCD">
      <w:pPr>
        <w:pStyle w:val="Heading3"/>
        <w:spacing w:after="360"/>
      </w:pPr>
      <w:r>
        <w:t>Responsibilities of all staff</w:t>
      </w:r>
    </w:p>
    <w:p w14:paraId="69FCFD5C" w14:textId="632E1CAB" w:rsidR="008311C4" w:rsidRDefault="008311C4" w:rsidP="00C55661">
      <w:pPr>
        <w:pStyle w:val="ListParagraph"/>
        <w:spacing w:after="240"/>
      </w:pPr>
      <w:r>
        <w:t>Follow all procedures set up to prevent and detect fraud without exception.</w:t>
      </w:r>
    </w:p>
    <w:p w14:paraId="2990B194" w14:textId="3B2959D1" w:rsidR="008311C4" w:rsidRDefault="008311C4" w:rsidP="00C55661">
      <w:pPr>
        <w:pStyle w:val="ListParagraph"/>
        <w:spacing w:after="240"/>
      </w:pPr>
      <w:r>
        <w:t>Immediately report suspected fraud to the</w:t>
      </w:r>
      <w:r w:rsidR="00E05993">
        <w:t xml:space="preserve"> Chief Operating Officer or their</w:t>
      </w:r>
      <w:r>
        <w:t xml:space="preserve"> Director.</w:t>
      </w:r>
    </w:p>
    <w:p w14:paraId="2EF9379C" w14:textId="17FFF345" w:rsidR="008311C4" w:rsidRDefault="008311C4" w:rsidP="00C55661">
      <w:pPr>
        <w:pStyle w:val="ListParagraph"/>
        <w:spacing w:after="240"/>
      </w:pPr>
      <w:r>
        <w:t xml:space="preserve">If staff feel unable to raise the matter with any member of Library staff, our </w:t>
      </w:r>
      <w:r w:rsidR="00B264AC">
        <w:t xml:space="preserve">internal </w:t>
      </w:r>
      <w:r w:rsidR="00446314">
        <w:t>auditors (</w:t>
      </w:r>
      <w:r w:rsidR="008A12D5">
        <w:t xml:space="preserve">WBG) </w:t>
      </w:r>
      <w:r w:rsidR="00B264AC">
        <w:t xml:space="preserve">or </w:t>
      </w:r>
      <w:r w:rsidR="00B327E1">
        <w:t>e</w:t>
      </w:r>
      <w:r w:rsidR="00E91217">
        <w:t xml:space="preserve">xternal </w:t>
      </w:r>
      <w:r w:rsidR="00B327E1">
        <w:t>a</w:t>
      </w:r>
      <w:r w:rsidR="00E91217">
        <w:t>uditors</w:t>
      </w:r>
      <w:r>
        <w:t xml:space="preserve"> </w:t>
      </w:r>
      <w:r w:rsidR="00B327E1">
        <w:t xml:space="preserve">(Audit Scotland) </w:t>
      </w:r>
      <w:r>
        <w:t>provide</w:t>
      </w:r>
      <w:r w:rsidR="00C07115">
        <w:t xml:space="preserve"> a </w:t>
      </w:r>
      <w:r>
        <w:t xml:space="preserve">point of contact independent of Library management. Any information </w:t>
      </w:r>
      <w:r w:rsidR="00C07115">
        <w:t xml:space="preserve">they </w:t>
      </w:r>
      <w:r>
        <w:t xml:space="preserve">receive will be dealt with in confidence and acted on as necessary. </w:t>
      </w:r>
      <w:r w:rsidR="00BD5C41">
        <w:t xml:space="preserve">The internal and external auditors </w:t>
      </w:r>
      <w:r>
        <w:t>ha</w:t>
      </w:r>
      <w:r w:rsidR="0029522C">
        <w:t>ve</w:t>
      </w:r>
      <w:r>
        <w:t xml:space="preserve"> access to the </w:t>
      </w:r>
      <w:r w:rsidR="001C4938">
        <w:t>Board</w:t>
      </w:r>
      <w:r w:rsidR="00147B23">
        <w:t>'</w:t>
      </w:r>
      <w:r w:rsidR="001C4938">
        <w:t xml:space="preserve">s </w:t>
      </w:r>
      <w:r>
        <w:t xml:space="preserve">Audit Committee Chair if they consider the matter is not being adequately dealt with. </w:t>
      </w:r>
    </w:p>
    <w:p w14:paraId="565F9A4A" w14:textId="77777777" w:rsidR="00F51FCB" w:rsidRDefault="00E91217" w:rsidP="00F51FCB">
      <w:pPr>
        <w:spacing w:afterLines="50" w:after="120"/>
      </w:pPr>
      <w:r w:rsidRPr="00E91217">
        <w:t xml:space="preserve">The Audit Scotland </w:t>
      </w:r>
      <w:r w:rsidR="00661E4B">
        <w:t xml:space="preserve">email </w:t>
      </w:r>
      <w:r w:rsidRPr="00E91217">
        <w:t xml:space="preserve">contact is </w:t>
      </w:r>
      <w:hyperlink r:id="rId13" w:history="1">
        <w:r w:rsidR="007F088F" w:rsidRPr="00167543">
          <w:rPr>
            <w:rStyle w:val="Hyperlink"/>
          </w:rPr>
          <w:t>correspondence@audit-scotland.gov.uk</w:t>
        </w:r>
      </w:hyperlink>
      <w:r w:rsidRPr="00E91217">
        <w:t xml:space="preserve">. </w:t>
      </w:r>
    </w:p>
    <w:p w14:paraId="1D3E2FF3" w14:textId="43830C75" w:rsidR="00EF2401" w:rsidRDefault="00F51FCB" w:rsidP="008311C4">
      <w:pPr>
        <w:spacing w:after="360"/>
      </w:pPr>
      <w:r>
        <w:t xml:space="preserve">The </w:t>
      </w:r>
      <w:r w:rsidR="00170E86">
        <w:t>W</w:t>
      </w:r>
      <w:r>
        <w:t xml:space="preserve">BG email contact is </w:t>
      </w:r>
      <w:hyperlink r:id="rId14" w:history="1">
        <w:r w:rsidR="00EF2401" w:rsidRPr="00590835">
          <w:rPr>
            <w:rStyle w:val="Hyperlink"/>
          </w:rPr>
          <w:t>gg@wbg.co.uk</w:t>
        </w:r>
      </w:hyperlink>
      <w:r w:rsidR="00EF2401">
        <w:t>.</w:t>
      </w:r>
    </w:p>
    <w:p w14:paraId="5E13F7B5" w14:textId="3076B9CE" w:rsidR="008311C4" w:rsidRDefault="008311C4" w:rsidP="004A18E8">
      <w:pPr>
        <w:pStyle w:val="Heading3"/>
        <w:spacing w:after="360"/>
      </w:pPr>
      <w:r>
        <w:t>Responsibilities of managers</w:t>
      </w:r>
    </w:p>
    <w:p w14:paraId="3F12BF9C" w14:textId="49A0F32C" w:rsidR="008311C4" w:rsidRDefault="008311C4" w:rsidP="00C55661">
      <w:pPr>
        <w:pStyle w:val="ListParagraph"/>
        <w:spacing w:after="240"/>
      </w:pPr>
      <w:r>
        <w:t>Be aware of the risks of fraud.</w:t>
      </w:r>
    </w:p>
    <w:p w14:paraId="4D4D89E1" w14:textId="6170E576" w:rsidR="008311C4" w:rsidRDefault="008311C4" w:rsidP="00C55661">
      <w:pPr>
        <w:pStyle w:val="ListParagraph"/>
        <w:spacing w:after="240"/>
      </w:pPr>
      <w:r>
        <w:lastRenderedPageBreak/>
        <w:t xml:space="preserve">Ensure all staff are aware of their responsibilities </w:t>
      </w:r>
      <w:r w:rsidR="00133AA2">
        <w:t xml:space="preserve">in </w:t>
      </w:r>
      <w:r>
        <w:t xml:space="preserve">the prevention and detection of </w:t>
      </w:r>
      <w:r w:rsidR="00682A78">
        <w:t>f</w:t>
      </w:r>
      <w:r>
        <w:t>raud, and of the policies and procedure in place to mitigate the risk of fraudulent activity.</w:t>
      </w:r>
    </w:p>
    <w:p w14:paraId="32AF5E25" w14:textId="5DE87566" w:rsidR="008311C4" w:rsidRDefault="008311C4" w:rsidP="00C55661">
      <w:pPr>
        <w:pStyle w:val="ListParagraph"/>
        <w:spacing w:after="240"/>
      </w:pPr>
      <w:r>
        <w:t>Design, operate and review control systems to minimise the risk of fraud occurring.</w:t>
      </w:r>
    </w:p>
    <w:p w14:paraId="0CBB9061" w14:textId="46B455BA" w:rsidR="008311C4" w:rsidRDefault="008311C4" w:rsidP="00C55661">
      <w:pPr>
        <w:pStyle w:val="ListParagraph"/>
        <w:spacing w:after="240"/>
      </w:pPr>
      <w:r>
        <w:t xml:space="preserve">Balance administrative simplicity and efficient operation with the responsibilities and costs of safeguarding public assets. The degree of control within a system should be based on a clear and up-to-date assessment of the risks involved, the consequences of failure and the resource costs of eliminating or reducing these factors.  </w:t>
      </w:r>
    </w:p>
    <w:p w14:paraId="129E9209" w14:textId="13205D90" w:rsidR="008311C4" w:rsidRDefault="008311C4" w:rsidP="00C55661">
      <w:pPr>
        <w:pStyle w:val="ListParagraph"/>
        <w:spacing w:after="240"/>
      </w:pPr>
      <w:r>
        <w:t>Formally review key or high</w:t>
      </w:r>
      <w:r w:rsidR="00AF7634">
        <w:t>-</w:t>
      </w:r>
      <w:r>
        <w:t xml:space="preserve">risk systems at least annually to assess whether they are adequate, and the controls are effective, or if the systems and degree of control are over-elaborate.  </w:t>
      </w:r>
    </w:p>
    <w:p w14:paraId="685530F8" w14:textId="5D3A3903" w:rsidR="008311C4" w:rsidRDefault="008311C4" w:rsidP="00C55661">
      <w:pPr>
        <w:pStyle w:val="ListParagraph"/>
        <w:spacing w:after="240"/>
      </w:pPr>
      <w:r>
        <w:t>Consult with the Finance Department where new control procedures are being set up or significant changes to existing procedures are being proposed.</w:t>
      </w:r>
    </w:p>
    <w:p w14:paraId="274481CC" w14:textId="2262E7BC" w:rsidR="008311C4" w:rsidRDefault="008311C4" w:rsidP="00C55661">
      <w:pPr>
        <w:pStyle w:val="ListParagraph"/>
        <w:spacing w:after="240"/>
      </w:pPr>
      <w:r>
        <w:t>Put in place preventive and detective controls.</w:t>
      </w:r>
    </w:p>
    <w:p w14:paraId="0A343193" w14:textId="670AE2B4" w:rsidR="008311C4" w:rsidRDefault="008311C4" w:rsidP="00C55661">
      <w:pPr>
        <w:pStyle w:val="ListParagraph"/>
        <w:spacing w:after="240"/>
      </w:pPr>
      <w:r>
        <w:t>Managers with responsibility for procurement (including the award of minor contracts and small purchases), making payments, authorising grants and similar activities must ensure they and their staff follow the procurement policies.</w:t>
      </w:r>
    </w:p>
    <w:p w14:paraId="0F5E8C4D" w14:textId="73865C99" w:rsidR="008311C4" w:rsidRDefault="008311C4" w:rsidP="00C55661">
      <w:pPr>
        <w:pStyle w:val="ListParagraph"/>
        <w:spacing w:after="240"/>
      </w:pPr>
      <w:r>
        <w:t xml:space="preserve">Business areas with significant grant-giving responsibilities must comply with the Award of Grant Policy. </w:t>
      </w:r>
    </w:p>
    <w:p w14:paraId="2F2867C9" w14:textId="305C1804" w:rsidR="008311C4" w:rsidRDefault="008311C4" w:rsidP="008311C4">
      <w:pPr>
        <w:spacing w:after="360"/>
      </w:pPr>
      <w:r>
        <w:t xml:space="preserve">Guidance for managers is available in the Fraud section of the </w:t>
      </w:r>
      <w:hyperlink r:id="rId15" w:history="1">
        <w:r w:rsidRPr="00015261">
          <w:rPr>
            <w:rStyle w:val="Hyperlink"/>
          </w:rPr>
          <w:t>Scottish Public Finance Manual</w:t>
        </w:r>
      </w:hyperlink>
      <w:r>
        <w:t xml:space="preserve"> (SPFM).</w:t>
      </w:r>
    </w:p>
    <w:p w14:paraId="3C226655" w14:textId="45763DC3" w:rsidR="008311C4" w:rsidRDefault="008311C4" w:rsidP="00855C3E">
      <w:pPr>
        <w:pStyle w:val="Heading3"/>
        <w:spacing w:after="360"/>
      </w:pPr>
      <w:r>
        <w:t xml:space="preserve">Responsibilities of the </w:t>
      </w:r>
      <w:r w:rsidR="00CE1532">
        <w:t>f</w:t>
      </w:r>
      <w:r>
        <w:t xml:space="preserve">inance and </w:t>
      </w:r>
      <w:r w:rsidR="00CE1532">
        <w:t>p</w:t>
      </w:r>
      <w:r>
        <w:t>rocurement departments</w:t>
      </w:r>
    </w:p>
    <w:p w14:paraId="0EBC9C54" w14:textId="52359F01" w:rsidR="008311C4" w:rsidRDefault="008311C4" w:rsidP="00C55661">
      <w:pPr>
        <w:pStyle w:val="ListParagraph"/>
        <w:spacing w:after="240"/>
      </w:pPr>
      <w:r>
        <w:t>Ensure core financial systems are designed and operated to minimise the risk of fraud.</w:t>
      </w:r>
    </w:p>
    <w:p w14:paraId="74C606FF" w14:textId="218F44F3" w:rsidR="008311C4" w:rsidRDefault="008311C4" w:rsidP="00C55661">
      <w:pPr>
        <w:pStyle w:val="ListParagraph"/>
        <w:spacing w:after="240"/>
      </w:pPr>
      <w:r>
        <w:t>Ensure payment procedures include a check that invoices have been properly authorised.</w:t>
      </w:r>
    </w:p>
    <w:p w14:paraId="6C076596" w14:textId="25E4F267" w:rsidR="008311C4" w:rsidRDefault="008311C4" w:rsidP="00C55661">
      <w:pPr>
        <w:pStyle w:val="ListParagraph"/>
        <w:spacing w:after="240"/>
      </w:pPr>
      <w:r>
        <w:lastRenderedPageBreak/>
        <w:t>Ensure expense procedures include a check that the expenditure has been properly incurred for business purposes.</w:t>
      </w:r>
    </w:p>
    <w:p w14:paraId="72D11C8E" w14:textId="3220D863" w:rsidR="008311C4" w:rsidRDefault="008311C4" w:rsidP="00C55661">
      <w:pPr>
        <w:pStyle w:val="ListParagraph"/>
        <w:spacing w:after="240"/>
      </w:pPr>
      <w:r>
        <w:t xml:space="preserve">Ensure accounting and other records, such as cash balances, bank balances, physical stock counts, are reconciled with the actual position. </w:t>
      </w:r>
    </w:p>
    <w:p w14:paraId="5B417789" w14:textId="53EBB634" w:rsidR="008311C4" w:rsidRDefault="008311C4" w:rsidP="00C55661">
      <w:pPr>
        <w:pStyle w:val="ListParagraph"/>
        <w:spacing w:after="240"/>
      </w:pPr>
      <w:r>
        <w:t xml:space="preserve">Ensure there are proper and adequate budgetary delegations and controls in place. </w:t>
      </w:r>
    </w:p>
    <w:p w14:paraId="799397A9" w14:textId="38CBCAF0" w:rsidR="008311C4" w:rsidRDefault="008311C4" w:rsidP="00C55661">
      <w:pPr>
        <w:pStyle w:val="ListParagraph"/>
        <w:spacing w:after="240"/>
      </w:pPr>
      <w:r>
        <w:t>Ensure robust procurement policies and procedures are in place to ensure the risk of fraud is minimised.</w:t>
      </w:r>
    </w:p>
    <w:p w14:paraId="2E2E26E1" w14:textId="7C32CDE0" w:rsidR="008311C4" w:rsidRDefault="008311C4" w:rsidP="00C55661">
      <w:pPr>
        <w:pStyle w:val="ListParagraph"/>
        <w:spacing w:after="240"/>
      </w:pPr>
      <w:r>
        <w:t>Maintain up-to-date guidance and provide advice to managers on control procedures.</w:t>
      </w:r>
    </w:p>
    <w:p w14:paraId="13507D44" w14:textId="5DE39518" w:rsidR="008311C4" w:rsidRDefault="008311C4" w:rsidP="00C55661">
      <w:pPr>
        <w:pStyle w:val="ListParagraph"/>
        <w:spacing w:after="240"/>
      </w:pPr>
      <w:r>
        <w:t>Ensure staff comply with guidance/instructions issued about these systems.</w:t>
      </w:r>
    </w:p>
    <w:p w14:paraId="11E267B5" w14:textId="65F23999" w:rsidR="008311C4" w:rsidRDefault="008311C4" w:rsidP="002C3102">
      <w:pPr>
        <w:pStyle w:val="Heading3"/>
        <w:spacing w:after="360"/>
      </w:pPr>
      <w:r>
        <w:t xml:space="preserve">Responsibilities of </w:t>
      </w:r>
      <w:r w:rsidR="00600E35">
        <w:t xml:space="preserve">Chief Operating Officer and </w:t>
      </w:r>
      <w:r w:rsidR="00EF56DE">
        <w:t>d</w:t>
      </w:r>
      <w:r>
        <w:t>irector</w:t>
      </w:r>
      <w:r w:rsidR="00600E35">
        <w:t>s</w:t>
      </w:r>
    </w:p>
    <w:p w14:paraId="35B1419A" w14:textId="7D260740" w:rsidR="008311C4" w:rsidRDefault="008311C4" w:rsidP="00C55661">
      <w:pPr>
        <w:pStyle w:val="ListParagraph"/>
        <w:spacing w:after="240"/>
      </w:pPr>
      <w:r>
        <w:t xml:space="preserve">Promote a culture that allows staff to report any suspected fraud in good faith. </w:t>
      </w:r>
    </w:p>
    <w:p w14:paraId="6C2E8949" w14:textId="5CCEE1C9" w:rsidR="008311C4" w:rsidRDefault="008311C4" w:rsidP="00C55661">
      <w:pPr>
        <w:pStyle w:val="ListParagraph"/>
        <w:spacing w:after="240"/>
      </w:pPr>
      <w:r>
        <w:t xml:space="preserve">Set up proper systems of control for their areas of responsibility and ensure strict compliance and regular review. </w:t>
      </w:r>
    </w:p>
    <w:p w14:paraId="50559547" w14:textId="5422AAB9" w:rsidR="008311C4" w:rsidRDefault="008311C4" w:rsidP="00C55661">
      <w:pPr>
        <w:pStyle w:val="ListParagraph"/>
        <w:spacing w:after="240"/>
      </w:pPr>
      <w:r>
        <w:t>In these areas assessed as having the greatest risk of fraud, give particular attention to control systems.</w:t>
      </w:r>
    </w:p>
    <w:p w14:paraId="7E4CA406" w14:textId="7BE458B1" w:rsidR="008311C4" w:rsidRDefault="008311C4" w:rsidP="00C55661">
      <w:pPr>
        <w:pStyle w:val="ListParagraph"/>
        <w:spacing w:after="240"/>
      </w:pPr>
      <w:r>
        <w:t xml:space="preserve">Ensure there is adequate separation of duties. Without adequate separation of duties the effectiveness of other control measures is undermined. Where resources are limited and separation of duties is not possible, appropriate compensating management controls must be employed. </w:t>
      </w:r>
    </w:p>
    <w:p w14:paraId="5D3D7536" w14:textId="684DD1C0" w:rsidR="008311C4" w:rsidRDefault="008311C4" w:rsidP="00C55661">
      <w:pPr>
        <w:pStyle w:val="ListParagraph"/>
        <w:spacing w:after="240"/>
      </w:pPr>
      <w:r>
        <w:t>Keep a record of formal reviews of key or high</w:t>
      </w:r>
      <w:r w:rsidR="009E08A4">
        <w:t>-</w:t>
      </w:r>
      <w:r>
        <w:t xml:space="preserve">risk systems carried out by managers, for reporting in the annual </w:t>
      </w:r>
      <w:r w:rsidR="00535E80">
        <w:t>a</w:t>
      </w:r>
      <w:r>
        <w:t>ssurance declaration.</w:t>
      </w:r>
    </w:p>
    <w:p w14:paraId="6E9D331A" w14:textId="37B33A51" w:rsidR="008311C4" w:rsidRDefault="008311C4" w:rsidP="00C55661">
      <w:pPr>
        <w:pStyle w:val="ListParagraph"/>
        <w:spacing w:after="240"/>
      </w:pPr>
      <w:r>
        <w:t>Consider during development of any new grant scheme or other spend programme whether any appropriate fraud prevention measures require to be built into processes or plans.</w:t>
      </w:r>
    </w:p>
    <w:p w14:paraId="1FBE654F" w14:textId="3898878B" w:rsidR="008311C4" w:rsidRDefault="008311C4" w:rsidP="009E08A4">
      <w:pPr>
        <w:pStyle w:val="Heading3"/>
        <w:spacing w:after="360"/>
      </w:pPr>
      <w:r>
        <w:t xml:space="preserve">Responsibilities of the Director of </w:t>
      </w:r>
      <w:r w:rsidR="00F462D8">
        <w:t>Engagement</w:t>
      </w:r>
    </w:p>
    <w:p w14:paraId="66413AB9" w14:textId="4F6B9F54" w:rsidR="008311C4" w:rsidRDefault="008311C4" w:rsidP="008311C4">
      <w:pPr>
        <w:spacing w:after="360"/>
      </w:pPr>
      <w:r>
        <w:t xml:space="preserve">In addition to those responsibilities detailed in </w:t>
      </w:r>
      <w:r w:rsidR="009E08A4">
        <w:t>7</w:t>
      </w:r>
      <w:r>
        <w:t>.4</w:t>
      </w:r>
      <w:r w:rsidR="00B22B79">
        <w:t>.</w:t>
      </w:r>
    </w:p>
    <w:p w14:paraId="6F76BFCB" w14:textId="799DAABB" w:rsidR="008311C4" w:rsidRDefault="008311C4" w:rsidP="00EF279E">
      <w:pPr>
        <w:pStyle w:val="ListParagraph"/>
        <w:spacing w:after="240"/>
      </w:pPr>
      <w:r>
        <w:lastRenderedPageBreak/>
        <w:t>Ensure fraud procedures are accessible and regularly updated.</w:t>
      </w:r>
    </w:p>
    <w:p w14:paraId="39A8C0DD" w14:textId="4538C5C8" w:rsidR="008311C4" w:rsidRDefault="008311C4" w:rsidP="00EF279E">
      <w:pPr>
        <w:pStyle w:val="ListParagraph"/>
        <w:spacing w:after="240"/>
      </w:pPr>
      <w:r>
        <w:t>Ensure staff dealing with fraud procedures receive appropriate training, support and supervision.</w:t>
      </w:r>
    </w:p>
    <w:p w14:paraId="66C28D17" w14:textId="111A851E" w:rsidR="008311C4" w:rsidRDefault="008311C4" w:rsidP="00EF279E">
      <w:pPr>
        <w:pStyle w:val="ListParagraph"/>
        <w:spacing w:after="240"/>
      </w:pPr>
      <w:r>
        <w:t>Ensure a risk-based internal audit service is in place covering with greater frequency those areas where the risk of fraud is greatest.</w:t>
      </w:r>
    </w:p>
    <w:p w14:paraId="50ABA21E" w14:textId="2924704E" w:rsidR="008311C4" w:rsidRDefault="008311C4" w:rsidP="008F1083">
      <w:pPr>
        <w:pStyle w:val="Heading3"/>
        <w:spacing w:after="360"/>
      </w:pPr>
      <w:r>
        <w:t xml:space="preserve">Responsibilities of the </w:t>
      </w:r>
      <w:r w:rsidR="00F462D8">
        <w:t>Chief Operating Officer</w:t>
      </w:r>
    </w:p>
    <w:p w14:paraId="63772EEA" w14:textId="68DD1C79" w:rsidR="008311C4" w:rsidRDefault="008311C4" w:rsidP="008311C4">
      <w:pPr>
        <w:spacing w:after="360"/>
      </w:pPr>
      <w:r>
        <w:t xml:space="preserve">In addition to those responsibilities detailed in </w:t>
      </w:r>
      <w:r w:rsidR="008F1083">
        <w:t>7</w:t>
      </w:r>
      <w:r>
        <w:t xml:space="preserve">.3 and </w:t>
      </w:r>
      <w:r w:rsidR="008F1083">
        <w:t>7</w:t>
      </w:r>
      <w:r>
        <w:t>.4</w:t>
      </w:r>
      <w:r w:rsidR="00126E95">
        <w:t>.</w:t>
      </w:r>
    </w:p>
    <w:p w14:paraId="6E4FB4ED" w14:textId="349C764A" w:rsidR="008311C4" w:rsidRDefault="008311C4" w:rsidP="00EF279E">
      <w:pPr>
        <w:pStyle w:val="ListParagraph"/>
        <w:spacing w:after="240"/>
      </w:pPr>
      <w:r>
        <w:t>Follow up any data matching instances identified by Audit Scotland as part of the National Fraud Initiative.</w:t>
      </w:r>
    </w:p>
    <w:p w14:paraId="02DCD3D9" w14:textId="550B3E4C" w:rsidR="008311C4" w:rsidRDefault="008311C4" w:rsidP="008F1083">
      <w:pPr>
        <w:pStyle w:val="Heading3"/>
        <w:spacing w:after="360"/>
      </w:pPr>
      <w:r>
        <w:t>Responsibilities of the National Librarian</w:t>
      </w:r>
    </w:p>
    <w:p w14:paraId="7B496415" w14:textId="6BA48F54" w:rsidR="00336AD4" w:rsidRDefault="008311C4" w:rsidP="00EF279E">
      <w:pPr>
        <w:pStyle w:val="ListParagraph"/>
        <w:spacing w:after="240"/>
      </w:pPr>
      <w:r>
        <w:t>Overall responsibility for ensuring control systems and procedures are in place rests with the National Librarian, as Accountable Officer.</w:t>
      </w:r>
    </w:p>
    <w:p w14:paraId="3799EE35" w14:textId="42AB8F0F" w:rsidR="00336AD4" w:rsidRDefault="00336AD4" w:rsidP="00004273">
      <w:pPr>
        <w:pStyle w:val="Heading2"/>
        <w:spacing w:after="360"/>
      </w:pPr>
      <w:bookmarkStart w:id="13" w:name="_Toc174090734"/>
      <w:r>
        <w:t>Related Policies</w:t>
      </w:r>
      <w:bookmarkEnd w:id="13"/>
    </w:p>
    <w:p w14:paraId="6CCE36F3" w14:textId="059A36C9" w:rsidR="00A63B67" w:rsidRPr="00A63B67" w:rsidRDefault="0075264B" w:rsidP="00A63B67">
      <w:pPr>
        <w:pStyle w:val="ListParagraph"/>
        <w:spacing w:after="240"/>
        <w:rPr>
          <w:szCs w:val="28"/>
        </w:rPr>
      </w:pPr>
      <w:r w:rsidRPr="0075264B">
        <w:t>Discipline Policy and Procedure</w:t>
      </w:r>
      <w:r w:rsidR="00126E95">
        <w:t>.</w:t>
      </w:r>
    </w:p>
    <w:p w14:paraId="0C842225" w14:textId="083474EB" w:rsidR="00A63B67" w:rsidRPr="00A63B67" w:rsidRDefault="0075264B" w:rsidP="00A63B67">
      <w:pPr>
        <w:pStyle w:val="ListParagraph"/>
        <w:spacing w:after="240"/>
        <w:rPr>
          <w:szCs w:val="28"/>
        </w:rPr>
      </w:pPr>
      <w:r w:rsidRPr="0075264B">
        <w:t>Gifts, Fees, Hospitality, Bribery and Corruption Policy</w:t>
      </w:r>
      <w:r w:rsidR="00126E95">
        <w:t>.</w:t>
      </w:r>
    </w:p>
    <w:p w14:paraId="1C0E9225" w14:textId="5F76222D" w:rsidR="00A63B67" w:rsidRPr="00A63B67" w:rsidRDefault="0075264B" w:rsidP="00A63B67">
      <w:pPr>
        <w:pStyle w:val="ListParagraph"/>
        <w:spacing w:after="240"/>
        <w:rPr>
          <w:szCs w:val="28"/>
        </w:rPr>
      </w:pPr>
      <w:r w:rsidRPr="0075264B">
        <w:t>Whistleblowing Policy</w:t>
      </w:r>
      <w:r w:rsidR="00126E95">
        <w:t>.</w:t>
      </w:r>
    </w:p>
    <w:p w14:paraId="3298D726" w14:textId="520A0B23" w:rsidR="00A63B67" w:rsidRPr="00A63B67" w:rsidRDefault="0075264B" w:rsidP="00A63B67">
      <w:pPr>
        <w:pStyle w:val="ListParagraph"/>
        <w:spacing w:after="240"/>
        <w:rPr>
          <w:szCs w:val="28"/>
        </w:rPr>
      </w:pPr>
      <w:r w:rsidRPr="0075264B">
        <w:t>Fraud Response Policy and Procedure</w:t>
      </w:r>
      <w:r w:rsidR="00126E95">
        <w:t>.</w:t>
      </w:r>
    </w:p>
    <w:p w14:paraId="236D68E6" w14:textId="665A220B" w:rsidR="00A63B67" w:rsidRPr="00A63B67" w:rsidRDefault="0075264B" w:rsidP="00A63B67">
      <w:pPr>
        <w:pStyle w:val="ListParagraph"/>
        <w:spacing w:after="240"/>
        <w:rPr>
          <w:szCs w:val="28"/>
        </w:rPr>
      </w:pPr>
      <w:r w:rsidRPr="0075264B">
        <w:t>Information Security Policy</w:t>
      </w:r>
      <w:r w:rsidR="00126E95">
        <w:t>.</w:t>
      </w:r>
    </w:p>
    <w:p w14:paraId="5E0EBE28" w14:textId="2AD8E227" w:rsidR="004E62AC" w:rsidRPr="00704A0F" w:rsidRDefault="0075264B" w:rsidP="00A63B67">
      <w:pPr>
        <w:pStyle w:val="ListParagraph"/>
        <w:spacing w:after="240"/>
        <w:rPr>
          <w:szCs w:val="28"/>
        </w:rPr>
      </w:pPr>
      <w:r w:rsidRPr="0075264B">
        <w:t>Acceptable Use of ICT Equipment Policy</w:t>
      </w:r>
      <w:r w:rsidR="00126E95">
        <w:t>.</w:t>
      </w:r>
      <w:r w:rsidR="004E62AC">
        <w:br w:type="page"/>
      </w:r>
    </w:p>
    <w:p w14:paraId="36803E98" w14:textId="092EECB3" w:rsidR="00016C83" w:rsidRPr="00004273" w:rsidRDefault="00995125" w:rsidP="00004273">
      <w:pPr>
        <w:pStyle w:val="Heading2"/>
        <w:spacing w:after="360"/>
      </w:pPr>
      <w:bookmarkStart w:id="14" w:name="_Toc777561918"/>
      <w:bookmarkStart w:id="15" w:name="_Toc959047578"/>
      <w:bookmarkStart w:id="16" w:name="_Toc174090735"/>
      <w:r w:rsidRPr="00004273">
        <w:lastRenderedPageBreak/>
        <w:t xml:space="preserve">Document </w:t>
      </w:r>
      <w:r w:rsidR="009178F1" w:rsidRPr="00004273">
        <w:t>i</w:t>
      </w:r>
      <w:r w:rsidRPr="00004273">
        <w:t>nformation</w:t>
      </w:r>
      <w:bookmarkEnd w:id="14"/>
      <w:bookmarkEnd w:id="15"/>
      <w:bookmarkEnd w:id="16"/>
    </w:p>
    <w:p w14:paraId="7A126C42" w14:textId="2F2CD2A8" w:rsidR="00355B82" w:rsidRPr="00355B82" w:rsidRDefault="00995125" w:rsidP="36C7B31F">
      <w:pPr>
        <w:pStyle w:val="ListParagraph"/>
        <w:numPr>
          <w:ilvl w:val="0"/>
          <w:numId w:val="1"/>
        </w:numPr>
        <w:spacing w:after="240"/>
        <w:ind w:hanging="357"/>
        <w:rPr>
          <w:rFonts w:eastAsiaTheme="minorEastAsia" w:cs="Arial"/>
        </w:rPr>
      </w:pPr>
      <w:r w:rsidRPr="36C7B31F">
        <w:rPr>
          <w:rFonts w:cs="Arial"/>
        </w:rPr>
        <w:t xml:space="preserve">Document </w:t>
      </w:r>
      <w:r w:rsidR="00E11BBB" w:rsidRPr="36C7B31F">
        <w:rPr>
          <w:rFonts w:cs="Arial"/>
        </w:rPr>
        <w:t>n</w:t>
      </w:r>
      <w:r w:rsidRPr="36C7B31F">
        <w:rPr>
          <w:rFonts w:cs="Arial"/>
        </w:rPr>
        <w:t xml:space="preserve">ame: </w:t>
      </w:r>
      <w:r w:rsidR="00A63B67">
        <w:rPr>
          <w:rFonts w:cs="Arial"/>
        </w:rPr>
        <w:t>Fraud Prevention Policy and Procedure</w:t>
      </w:r>
      <w:r w:rsidR="007249E8">
        <w:rPr>
          <w:rFonts w:cs="Arial"/>
        </w:rPr>
        <w:t>.</w:t>
      </w:r>
    </w:p>
    <w:p w14:paraId="7F372D0B" w14:textId="547E3142" w:rsidR="00C237AB" w:rsidRPr="00C237AB" w:rsidRDefault="00995125" w:rsidP="36C7B31F">
      <w:pPr>
        <w:pStyle w:val="ListParagraph"/>
        <w:numPr>
          <w:ilvl w:val="0"/>
          <w:numId w:val="1"/>
        </w:numPr>
        <w:spacing w:after="240"/>
        <w:ind w:hanging="357"/>
        <w:rPr>
          <w:rFonts w:cs="Arial"/>
        </w:rPr>
      </w:pPr>
      <w:r w:rsidRPr="36C7B31F">
        <w:rPr>
          <w:rFonts w:cs="Arial"/>
        </w:rPr>
        <w:t xml:space="preserve">Document </w:t>
      </w:r>
      <w:r w:rsidR="00E11BBB" w:rsidRPr="36C7B31F">
        <w:rPr>
          <w:rFonts w:cs="Arial"/>
        </w:rPr>
        <w:t>s</w:t>
      </w:r>
      <w:r w:rsidRPr="36C7B31F">
        <w:rPr>
          <w:rFonts w:cs="Arial"/>
        </w:rPr>
        <w:t xml:space="preserve">tatus: </w:t>
      </w:r>
      <w:r w:rsidR="00244B49">
        <w:rPr>
          <w:rFonts w:cs="Arial"/>
        </w:rPr>
        <w:t>Approved</w:t>
      </w:r>
      <w:r w:rsidR="007249E8">
        <w:rPr>
          <w:rFonts w:cs="Arial"/>
        </w:rPr>
        <w:t>.</w:t>
      </w:r>
    </w:p>
    <w:p w14:paraId="1042E47A" w14:textId="1E2B7F5E" w:rsidR="005A2812" w:rsidRDefault="00E86F5F" w:rsidP="36C7B31F">
      <w:pPr>
        <w:pStyle w:val="ListParagraph"/>
        <w:numPr>
          <w:ilvl w:val="0"/>
          <w:numId w:val="1"/>
        </w:numPr>
        <w:spacing w:after="240"/>
        <w:ind w:hanging="357"/>
        <w:rPr>
          <w:rFonts w:cs="Arial"/>
        </w:rPr>
      </w:pPr>
      <w:r w:rsidRPr="36C7B31F">
        <w:rPr>
          <w:rFonts w:cs="Arial"/>
        </w:rPr>
        <w:t>Contact</w:t>
      </w:r>
      <w:r w:rsidR="00995125" w:rsidRPr="36C7B31F">
        <w:rPr>
          <w:rFonts w:cs="Arial"/>
        </w:rPr>
        <w:t>:</w:t>
      </w:r>
      <w:r w:rsidR="00225CD7">
        <w:rPr>
          <w:rFonts w:cs="Arial"/>
        </w:rPr>
        <w:t xml:space="preserve"> </w:t>
      </w:r>
      <w:r w:rsidR="00A63B67">
        <w:rPr>
          <w:rFonts w:cs="Arial"/>
        </w:rPr>
        <w:t>Board Support &amp; Compliance Officer</w:t>
      </w:r>
      <w:r w:rsidR="007F11E1">
        <w:rPr>
          <w:rFonts w:cs="Arial"/>
        </w:rPr>
        <w:t>.</w:t>
      </w:r>
      <w:r w:rsidR="00C237AB" w:rsidRPr="36C7B31F">
        <w:rPr>
          <w:rFonts w:cs="Arial"/>
        </w:rPr>
        <w:t xml:space="preserve"> </w:t>
      </w:r>
    </w:p>
    <w:p w14:paraId="24937FAB" w14:textId="4DA3BB24" w:rsidR="00323243" w:rsidRPr="005A2812" w:rsidRDefault="00995125" w:rsidP="36C7B31F">
      <w:pPr>
        <w:pStyle w:val="ListParagraph"/>
        <w:numPr>
          <w:ilvl w:val="0"/>
          <w:numId w:val="1"/>
        </w:numPr>
        <w:spacing w:after="240"/>
        <w:ind w:hanging="357"/>
        <w:rPr>
          <w:rFonts w:cs="Arial"/>
        </w:rPr>
      </w:pPr>
      <w:r>
        <w:t>App</w:t>
      </w:r>
      <w:r w:rsidR="00192226">
        <w:t>roval</w:t>
      </w:r>
      <w:r w:rsidR="007F11E1">
        <w:t>.</w:t>
      </w:r>
    </w:p>
    <w:p w14:paraId="6F1D07B0" w14:textId="29E052AA" w:rsidR="00995125" w:rsidRPr="00423A38" w:rsidRDefault="00995125" w:rsidP="36C7B31F">
      <w:pPr>
        <w:pStyle w:val="ListParagraph"/>
        <w:numPr>
          <w:ilvl w:val="1"/>
          <w:numId w:val="1"/>
        </w:numPr>
        <w:spacing w:after="240"/>
        <w:ind w:hanging="357"/>
        <w:rPr>
          <w:rFonts w:cs="Arial"/>
        </w:rPr>
      </w:pPr>
      <w:r w:rsidRPr="36C7B31F">
        <w:rPr>
          <w:rFonts w:cs="Arial"/>
        </w:rPr>
        <w:t xml:space="preserve">Date of Whitley </w:t>
      </w:r>
      <w:r w:rsidR="00B24CDC">
        <w:rPr>
          <w:rFonts w:cs="Arial"/>
        </w:rPr>
        <w:t>a</w:t>
      </w:r>
      <w:r w:rsidRPr="36C7B31F">
        <w:rPr>
          <w:rFonts w:cs="Arial"/>
        </w:rPr>
        <w:t>pproval:</w:t>
      </w:r>
      <w:r w:rsidR="00225CD7">
        <w:rPr>
          <w:rFonts w:cs="Arial"/>
        </w:rPr>
        <w:t xml:space="preserve"> </w:t>
      </w:r>
      <w:r w:rsidR="001F795F">
        <w:rPr>
          <w:rFonts w:cs="Arial"/>
        </w:rPr>
        <w:t>Not applicable</w:t>
      </w:r>
      <w:r w:rsidR="007249E8">
        <w:rPr>
          <w:rFonts w:cs="Arial"/>
        </w:rPr>
        <w:t>.</w:t>
      </w:r>
      <w:r w:rsidR="002734BA" w:rsidRPr="36C7B31F">
        <w:rPr>
          <w:rFonts w:cs="Arial"/>
        </w:rPr>
        <w:t xml:space="preserve"> </w:t>
      </w:r>
    </w:p>
    <w:p w14:paraId="2E77DC8A" w14:textId="4F6EDD68" w:rsidR="00323243" w:rsidRPr="00423A38" w:rsidRDefault="0067781E" w:rsidP="36C7B31F">
      <w:pPr>
        <w:pStyle w:val="ListParagraph"/>
        <w:numPr>
          <w:ilvl w:val="1"/>
          <w:numId w:val="1"/>
        </w:numPr>
        <w:spacing w:after="240"/>
        <w:ind w:hanging="357"/>
        <w:rPr>
          <w:rFonts w:cs="Arial"/>
        </w:rPr>
      </w:pPr>
      <w:r w:rsidRPr="36C7B31F">
        <w:rPr>
          <w:rFonts w:cs="Arial"/>
        </w:rPr>
        <w:t>Date</w:t>
      </w:r>
      <w:r w:rsidR="00F713FD" w:rsidRPr="36C7B31F">
        <w:rPr>
          <w:rFonts w:cs="Arial"/>
        </w:rPr>
        <w:t xml:space="preserve"> of Audit Committee </w:t>
      </w:r>
      <w:r w:rsidR="00B24CDC">
        <w:rPr>
          <w:rFonts w:cs="Arial"/>
        </w:rPr>
        <w:t>a</w:t>
      </w:r>
      <w:r w:rsidR="00F713FD" w:rsidRPr="36C7B31F">
        <w:rPr>
          <w:rFonts w:cs="Arial"/>
        </w:rPr>
        <w:t>pproval:</w:t>
      </w:r>
      <w:r w:rsidR="00225CD7">
        <w:rPr>
          <w:rFonts w:cs="Arial"/>
        </w:rPr>
        <w:t xml:space="preserve"> </w:t>
      </w:r>
      <w:r w:rsidR="006539D3">
        <w:rPr>
          <w:rFonts w:cs="Arial"/>
        </w:rPr>
        <w:t>November 202</w:t>
      </w:r>
      <w:r w:rsidR="00C30CA3">
        <w:rPr>
          <w:rFonts w:cs="Arial"/>
        </w:rPr>
        <w:t>3</w:t>
      </w:r>
      <w:r w:rsidR="003F635D">
        <w:rPr>
          <w:rFonts w:cs="Arial"/>
        </w:rPr>
        <w:t>.</w:t>
      </w:r>
    </w:p>
    <w:p w14:paraId="47BCE033" w14:textId="6A8C6DE6" w:rsidR="00995125" w:rsidRDefault="00995125" w:rsidP="36C7B31F">
      <w:pPr>
        <w:pStyle w:val="ListParagraph"/>
        <w:numPr>
          <w:ilvl w:val="0"/>
          <w:numId w:val="1"/>
        </w:numPr>
        <w:spacing w:after="240"/>
        <w:ind w:hanging="357"/>
        <w:rPr>
          <w:rFonts w:cs="Arial"/>
        </w:rPr>
      </w:pPr>
      <w:r w:rsidRPr="36C7B31F">
        <w:rPr>
          <w:rFonts w:cs="Arial"/>
        </w:rPr>
        <w:t>E</w:t>
      </w:r>
      <w:r w:rsidR="00757617" w:rsidRPr="36C7B31F">
        <w:rPr>
          <w:rFonts w:cs="Arial"/>
        </w:rPr>
        <w:t xml:space="preserve">quality </w:t>
      </w:r>
      <w:r w:rsidRPr="36C7B31F">
        <w:rPr>
          <w:rFonts w:cs="Arial"/>
        </w:rPr>
        <w:t>I</w:t>
      </w:r>
      <w:r w:rsidR="00757617" w:rsidRPr="36C7B31F">
        <w:rPr>
          <w:rFonts w:cs="Arial"/>
        </w:rPr>
        <w:t xml:space="preserve">mpact </w:t>
      </w:r>
      <w:r w:rsidRPr="36C7B31F">
        <w:rPr>
          <w:rFonts w:cs="Arial"/>
        </w:rPr>
        <w:t>A</w:t>
      </w:r>
      <w:r w:rsidR="00757617" w:rsidRPr="36C7B31F">
        <w:rPr>
          <w:rFonts w:cs="Arial"/>
        </w:rPr>
        <w:t>ssessment</w:t>
      </w:r>
      <w:r w:rsidRPr="36C7B31F">
        <w:rPr>
          <w:rFonts w:cs="Arial"/>
        </w:rPr>
        <w:t xml:space="preserve"> </w:t>
      </w:r>
      <w:r w:rsidR="0036093B">
        <w:rPr>
          <w:rFonts w:cs="Arial"/>
        </w:rPr>
        <w:t>c</w:t>
      </w:r>
      <w:r w:rsidRPr="36C7B31F">
        <w:rPr>
          <w:rFonts w:cs="Arial"/>
        </w:rPr>
        <w:t xml:space="preserve">ompleted: </w:t>
      </w:r>
      <w:r w:rsidR="00E822A6">
        <w:rPr>
          <w:rFonts w:cs="Arial"/>
        </w:rPr>
        <w:t>April 2015</w:t>
      </w:r>
      <w:r w:rsidR="005815D4">
        <w:rPr>
          <w:rFonts w:cs="Arial"/>
        </w:rPr>
        <w:t>.</w:t>
      </w:r>
    </w:p>
    <w:p w14:paraId="4C2DE54D" w14:textId="45D6D733" w:rsidR="008333F3" w:rsidRPr="008333F3" w:rsidRDefault="008333F3" w:rsidP="36C7B31F">
      <w:pPr>
        <w:pStyle w:val="ListParagraph"/>
        <w:numPr>
          <w:ilvl w:val="0"/>
          <w:numId w:val="1"/>
        </w:numPr>
        <w:spacing w:after="240"/>
        <w:ind w:hanging="357"/>
        <w:rPr>
          <w:rFonts w:cs="Arial"/>
        </w:rPr>
      </w:pPr>
      <w:r w:rsidRPr="36C7B31F">
        <w:rPr>
          <w:rFonts w:cs="Arial"/>
        </w:rPr>
        <w:t xml:space="preserve">Date of </w:t>
      </w:r>
      <w:r w:rsidR="00E11BBB" w:rsidRPr="36C7B31F">
        <w:rPr>
          <w:rFonts w:cs="Arial"/>
        </w:rPr>
        <w:t>n</w:t>
      </w:r>
      <w:r w:rsidRPr="36C7B31F">
        <w:rPr>
          <w:rFonts w:cs="Arial"/>
        </w:rPr>
        <w:t xml:space="preserve">ext </w:t>
      </w:r>
      <w:r w:rsidR="00E11BBB" w:rsidRPr="36C7B31F">
        <w:rPr>
          <w:rFonts w:cs="Arial"/>
        </w:rPr>
        <w:t>r</w:t>
      </w:r>
      <w:r w:rsidRPr="36C7B31F">
        <w:rPr>
          <w:rFonts w:cs="Arial"/>
        </w:rPr>
        <w:t>eview:</w:t>
      </w:r>
      <w:r w:rsidR="00225CD7">
        <w:rPr>
          <w:rFonts w:cs="Arial"/>
        </w:rPr>
        <w:t xml:space="preserve"> </w:t>
      </w:r>
      <w:r w:rsidR="0071697A">
        <w:rPr>
          <w:rFonts w:cs="Arial"/>
        </w:rPr>
        <w:t>November 202</w:t>
      </w:r>
      <w:r w:rsidR="00C30CA3">
        <w:rPr>
          <w:rFonts w:cs="Arial"/>
        </w:rPr>
        <w:t>5</w:t>
      </w:r>
      <w:r w:rsidR="005815D4">
        <w:rPr>
          <w:rFonts w:cs="Arial"/>
        </w:rPr>
        <w:t>.</w:t>
      </w:r>
    </w:p>
    <w:p w14:paraId="4B8D3806" w14:textId="44A2783D" w:rsidR="00E63C07" w:rsidRPr="00BF6BEC" w:rsidRDefault="00E63C07" w:rsidP="36C7B31F">
      <w:pPr>
        <w:pStyle w:val="ListParagraph"/>
        <w:numPr>
          <w:ilvl w:val="0"/>
          <w:numId w:val="1"/>
        </w:numPr>
        <w:spacing w:after="240"/>
        <w:ind w:hanging="357"/>
        <w:rPr>
          <w:rFonts w:eastAsiaTheme="minorEastAsia" w:cs="Arial"/>
        </w:rPr>
      </w:pPr>
      <w:r w:rsidRPr="36C7B31F">
        <w:rPr>
          <w:rFonts w:cs="Arial"/>
        </w:rPr>
        <w:t>Business classification:</w:t>
      </w:r>
      <w:r w:rsidR="008248FB">
        <w:rPr>
          <w:rFonts w:cs="Arial"/>
        </w:rPr>
        <w:t xml:space="preserve"> Approved policies</w:t>
      </w:r>
      <w:r w:rsidR="005815D4">
        <w:rPr>
          <w:rFonts w:cs="Arial"/>
        </w:rPr>
        <w:t>.</w:t>
      </w:r>
    </w:p>
    <w:p w14:paraId="2C70089F" w14:textId="27EB87FD" w:rsidR="00BF6BEC" w:rsidRPr="00E63C07" w:rsidRDefault="00E63C07" w:rsidP="36C7B31F">
      <w:pPr>
        <w:pStyle w:val="ListParagraph"/>
        <w:numPr>
          <w:ilvl w:val="0"/>
          <w:numId w:val="1"/>
        </w:numPr>
        <w:spacing w:after="240"/>
        <w:ind w:hanging="357"/>
        <w:rPr>
          <w:rFonts w:cs="Arial"/>
        </w:rPr>
      </w:pPr>
      <w:r w:rsidRPr="36C7B31F">
        <w:rPr>
          <w:rFonts w:cs="Arial"/>
        </w:rPr>
        <w:t>Retention:</w:t>
      </w:r>
      <w:r w:rsidR="008248FB">
        <w:rPr>
          <w:rFonts w:cs="Arial"/>
        </w:rPr>
        <w:t xml:space="preserve"> 1 year</w:t>
      </w:r>
      <w:r w:rsidR="00F20640">
        <w:rPr>
          <w:rFonts w:cs="Arial"/>
        </w:rPr>
        <w:t xml:space="preserve"> after superseded (review for historical &amp; business value)</w:t>
      </w:r>
      <w:r w:rsidR="005815D4">
        <w:rPr>
          <w:rFonts w:cs="Arial"/>
        </w:rPr>
        <w:t>.</w:t>
      </w:r>
    </w:p>
    <w:p w14:paraId="3E7068A1" w14:textId="751FD78A" w:rsidR="000B3666" w:rsidRPr="00C50193" w:rsidRDefault="00995125" w:rsidP="00C50193">
      <w:pPr>
        <w:pStyle w:val="Heading2"/>
        <w:spacing w:after="360"/>
      </w:pPr>
      <w:bookmarkStart w:id="17" w:name="_Toc1000603206"/>
      <w:bookmarkStart w:id="18" w:name="_Toc548997067"/>
      <w:bookmarkStart w:id="19" w:name="_Toc174090736"/>
      <w:r w:rsidRPr="00C50193">
        <w:t xml:space="preserve">Document </w:t>
      </w:r>
      <w:r w:rsidR="00095C46" w:rsidRPr="00C50193">
        <w:t>c</w:t>
      </w:r>
      <w:r w:rsidRPr="00C50193">
        <w:t>ontrol</w:t>
      </w:r>
      <w:bookmarkEnd w:id="17"/>
      <w:bookmarkEnd w:id="18"/>
      <w:bookmarkEnd w:id="19"/>
    </w:p>
    <w:tbl>
      <w:tblPr>
        <w:tblStyle w:val="TableGrid"/>
        <w:tblW w:w="0" w:type="auto"/>
        <w:tblLook w:val="04A0" w:firstRow="1" w:lastRow="0" w:firstColumn="1" w:lastColumn="0" w:noHBand="0" w:noVBand="1"/>
      </w:tblPr>
      <w:tblGrid>
        <w:gridCol w:w="4508"/>
        <w:gridCol w:w="4508"/>
      </w:tblGrid>
      <w:tr w:rsidR="00600A18" w14:paraId="7A0F981B" w14:textId="77777777" w:rsidTr="36C7B31F">
        <w:trPr>
          <w:cantSplit/>
          <w:tblHeader/>
        </w:trPr>
        <w:tc>
          <w:tcPr>
            <w:tcW w:w="4508" w:type="dxa"/>
          </w:tcPr>
          <w:p w14:paraId="1214F8C6" w14:textId="2AB4FD31" w:rsidR="00600A18" w:rsidRDefault="00600A18" w:rsidP="36C7B31F">
            <w:pPr>
              <w:spacing w:after="360"/>
              <w:rPr>
                <w:rFonts w:cs="Arial"/>
              </w:rPr>
            </w:pPr>
            <w:r w:rsidRPr="36C7B31F">
              <w:rPr>
                <w:rFonts w:cs="Arial"/>
              </w:rPr>
              <w:t>Date</w:t>
            </w:r>
          </w:p>
        </w:tc>
        <w:tc>
          <w:tcPr>
            <w:tcW w:w="4508" w:type="dxa"/>
          </w:tcPr>
          <w:p w14:paraId="49987D66" w14:textId="316F19CB" w:rsidR="00600A18" w:rsidRDefault="00600A18" w:rsidP="36C7B31F">
            <w:pPr>
              <w:spacing w:after="360"/>
              <w:rPr>
                <w:rFonts w:cs="Arial"/>
              </w:rPr>
            </w:pPr>
            <w:r w:rsidRPr="36C7B31F">
              <w:rPr>
                <w:rFonts w:cs="Arial"/>
              </w:rPr>
              <w:t>Action</w:t>
            </w:r>
          </w:p>
        </w:tc>
      </w:tr>
      <w:tr w:rsidR="00600A18" w14:paraId="011ED000" w14:textId="77777777" w:rsidTr="36C7B31F">
        <w:tc>
          <w:tcPr>
            <w:tcW w:w="4508" w:type="dxa"/>
          </w:tcPr>
          <w:p w14:paraId="434B2CC9" w14:textId="686BD20A" w:rsidR="00600A18" w:rsidRPr="003D76CF" w:rsidRDefault="000379EB" w:rsidP="36C7B31F">
            <w:pPr>
              <w:spacing w:after="360"/>
              <w:rPr>
                <w:rFonts w:cs="Arial"/>
              </w:rPr>
            </w:pPr>
            <w:r>
              <w:rPr>
                <w:rFonts w:cs="Arial"/>
              </w:rPr>
              <w:t>April 2015</w:t>
            </w:r>
          </w:p>
        </w:tc>
        <w:tc>
          <w:tcPr>
            <w:tcW w:w="4508" w:type="dxa"/>
          </w:tcPr>
          <w:p w14:paraId="3601E0EE" w14:textId="4857C91A" w:rsidR="00600A18" w:rsidRPr="003D76CF" w:rsidRDefault="009A5F7F" w:rsidP="36C7B31F">
            <w:pPr>
              <w:spacing w:after="360"/>
              <w:rPr>
                <w:rFonts w:cs="Arial"/>
              </w:rPr>
            </w:pPr>
            <w:r>
              <w:rPr>
                <w:rFonts w:cs="Arial"/>
              </w:rPr>
              <w:t>Superseded</w:t>
            </w:r>
          </w:p>
        </w:tc>
      </w:tr>
      <w:tr w:rsidR="00F36C9D" w14:paraId="44B29F9B" w14:textId="77777777" w:rsidTr="36C7B31F">
        <w:tc>
          <w:tcPr>
            <w:tcW w:w="4508" w:type="dxa"/>
          </w:tcPr>
          <w:p w14:paraId="5462FE1A" w14:textId="4ABC1FF8" w:rsidR="00F36C9D" w:rsidRDefault="00C41B2C" w:rsidP="36C7B31F">
            <w:pPr>
              <w:spacing w:after="360"/>
              <w:rPr>
                <w:rFonts w:cs="Arial"/>
              </w:rPr>
            </w:pPr>
            <w:r>
              <w:rPr>
                <w:rFonts w:cs="Arial"/>
              </w:rPr>
              <w:t xml:space="preserve">August </w:t>
            </w:r>
            <w:r w:rsidR="001B2746">
              <w:rPr>
                <w:rFonts w:cs="Arial"/>
              </w:rPr>
              <w:t>2019</w:t>
            </w:r>
          </w:p>
        </w:tc>
        <w:tc>
          <w:tcPr>
            <w:tcW w:w="4508" w:type="dxa"/>
          </w:tcPr>
          <w:p w14:paraId="74BAFE17" w14:textId="29939F6C" w:rsidR="00F36C9D" w:rsidRDefault="009A5F7F" w:rsidP="36C7B31F">
            <w:pPr>
              <w:spacing w:after="360"/>
              <w:rPr>
                <w:rStyle w:val="normaltextrun"/>
                <w:color w:val="000000" w:themeColor="text1"/>
              </w:rPr>
            </w:pPr>
            <w:r>
              <w:rPr>
                <w:rStyle w:val="normaltextrun"/>
                <w:color w:val="000000" w:themeColor="text1"/>
              </w:rPr>
              <w:t>Superseded</w:t>
            </w:r>
          </w:p>
        </w:tc>
      </w:tr>
      <w:tr w:rsidR="00811F61" w14:paraId="3BF9A80B" w14:textId="77777777" w:rsidTr="36C7B31F">
        <w:tc>
          <w:tcPr>
            <w:tcW w:w="4508" w:type="dxa"/>
          </w:tcPr>
          <w:p w14:paraId="7D024667" w14:textId="47B3FCE0" w:rsidR="00811F61" w:rsidRDefault="00C41B2C" w:rsidP="36C7B31F">
            <w:pPr>
              <w:spacing w:after="360"/>
              <w:rPr>
                <w:rFonts w:cs="Arial"/>
              </w:rPr>
            </w:pPr>
            <w:r>
              <w:rPr>
                <w:rFonts w:cs="Arial"/>
              </w:rPr>
              <w:t xml:space="preserve">November </w:t>
            </w:r>
            <w:r w:rsidR="001B2746">
              <w:rPr>
                <w:rFonts w:cs="Arial"/>
              </w:rPr>
              <w:t>2020</w:t>
            </w:r>
          </w:p>
        </w:tc>
        <w:tc>
          <w:tcPr>
            <w:tcW w:w="4508" w:type="dxa"/>
          </w:tcPr>
          <w:p w14:paraId="5B53E15E" w14:textId="293339E0" w:rsidR="00811F61" w:rsidRDefault="009A5F7F" w:rsidP="36C7B31F">
            <w:pPr>
              <w:spacing w:after="360"/>
              <w:rPr>
                <w:rStyle w:val="normaltextrun"/>
                <w:color w:val="000000" w:themeColor="text1"/>
              </w:rPr>
            </w:pPr>
            <w:r>
              <w:rPr>
                <w:rStyle w:val="normaltextrun"/>
                <w:color w:val="000000" w:themeColor="text1"/>
              </w:rPr>
              <w:t>Superseded</w:t>
            </w:r>
          </w:p>
        </w:tc>
      </w:tr>
      <w:tr w:rsidR="000D2C6F" w14:paraId="63A4559B" w14:textId="77777777" w:rsidTr="36C7B31F">
        <w:tc>
          <w:tcPr>
            <w:tcW w:w="4508" w:type="dxa"/>
          </w:tcPr>
          <w:p w14:paraId="41057298" w14:textId="0925382D" w:rsidR="000D2C6F" w:rsidRDefault="00D8157D" w:rsidP="36C7B31F">
            <w:pPr>
              <w:spacing w:after="360"/>
              <w:rPr>
                <w:rFonts w:cs="Arial"/>
              </w:rPr>
            </w:pPr>
            <w:r>
              <w:rPr>
                <w:rFonts w:cs="Arial"/>
              </w:rPr>
              <w:t>November 2021</w:t>
            </w:r>
          </w:p>
        </w:tc>
        <w:tc>
          <w:tcPr>
            <w:tcW w:w="4508" w:type="dxa"/>
          </w:tcPr>
          <w:p w14:paraId="090A1A6C" w14:textId="6DAE6366" w:rsidR="000D2C6F" w:rsidRDefault="009A5F7F" w:rsidP="36C7B31F">
            <w:pPr>
              <w:spacing w:after="360"/>
              <w:rPr>
                <w:rStyle w:val="normaltextrun"/>
                <w:color w:val="000000" w:themeColor="text1"/>
              </w:rPr>
            </w:pPr>
            <w:r>
              <w:rPr>
                <w:rStyle w:val="normaltextrun"/>
                <w:color w:val="000000" w:themeColor="text1"/>
              </w:rPr>
              <w:t>Superseded</w:t>
            </w:r>
          </w:p>
        </w:tc>
      </w:tr>
      <w:tr w:rsidR="00731230" w14:paraId="11677A68" w14:textId="77777777" w:rsidTr="36C7B31F">
        <w:tc>
          <w:tcPr>
            <w:tcW w:w="4508" w:type="dxa"/>
          </w:tcPr>
          <w:p w14:paraId="09C3D83C" w14:textId="64CCEB25" w:rsidR="00731230" w:rsidRDefault="00E10AD2" w:rsidP="36C7B31F">
            <w:pPr>
              <w:spacing w:after="360"/>
              <w:rPr>
                <w:rFonts w:cs="Arial"/>
              </w:rPr>
            </w:pPr>
            <w:r>
              <w:rPr>
                <w:rFonts w:cs="Arial"/>
              </w:rPr>
              <w:t>November 2022</w:t>
            </w:r>
          </w:p>
        </w:tc>
        <w:tc>
          <w:tcPr>
            <w:tcW w:w="4508" w:type="dxa"/>
          </w:tcPr>
          <w:p w14:paraId="394B1B6A" w14:textId="65F126D9" w:rsidR="00731230" w:rsidRDefault="009A5F7F" w:rsidP="36C7B31F">
            <w:pPr>
              <w:spacing w:after="360"/>
              <w:rPr>
                <w:rStyle w:val="normaltextrun"/>
                <w:color w:val="000000" w:themeColor="text1"/>
              </w:rPr>
            </w:pPr>
            <w:r>
              <w:rPr>
                <w:rStyle w:val="normaltextrun"/>
                <w:color w:val="000000" w:themeColor="text1"/>
              </w:rPr>
              <w:t>Superseded</w:t>
            </w:r>
          </w:p>
        </w:tc>
      </w:tr>
      <w:tr w:rsidR="00C30CA3" w14:paraId="6A4A861B" w14:textId="77777777" w:rsidTr="36C7B31F">
        <w:tc>
          <w:tcPr>
            <w:tcW w:w="4508" w:type="dxa"/>
          </w:tcPr>
          <w:p w14:paraId="3B4970D3" w14:textId="30A46408" w:rsidR="00C30CA3" w:rsidRDefault="00C30CA3" w:rsidP="36C7B31F">
            <w:pPr>
              <w:spacing w:after="360"/>
              <w:rPr>
                <w:rFonts w:cs="Arial"/>
              </w:rPr>
            </w:pPr>
            <w:r>
              <w:rPr>
                <w:rFonts w:cs="Arial"/>
              </w:rPr>
              <w:t>November 2023</w:t>
            </w:r>
          </w:p>
        </w:tc>
        <w:tc>
          <w:tcPr>
            <w:tcW w:w="4508" w:type="dxa"/>
          </w:tcPr>
          <w:p w14:paraId="0B7A34DC" w14:textId="03C4DF86" w:rsidR="00C30CA3" w:rsidRDefault="009A5F7F" w:rsidP="36C7B31F">
            <w:pPr>
              <w:spacing w:after="360"/>
              <w:rPr>
                <w:rStyle w:val="normaltextrun"/>
                <w:color w:val="000000" w:themeColor="text1"/>
              </w:rPr>
            </w:pPr>
            <w:r>
              <w:rPr>
                <w:rStyle w:val="normaltextrun"/>
                <w:color w:val="000000" w:themeColor="text1"/>
              </w:rPr>
              <w:t>Approved</w:t>
            </w:r>
          </w:p>
        </w:tc>
      </w:tr>
    </w:tbl>
    <w:p w14:paraId="0233FC45" w14:textId="1F61A4A2" w:rsidR="002677EA" w:rsidRDefault="002677EA" w:rsidP="00135E76">
      <w:pPr>
        <w:spacing w:after="360"/>
        <w:rPr>
          <w:rFonts w:cs="Arial"/>
          <w:szCs w:val="24"/>
        </w:rPr>
      </w:pPr>
    </w:p>
    <w:sectPr w:rsidR="002677EA" w:rsidSect="005208F4">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33A55" w14:textId="77777777" w:rsidR="00D95C67" w:rsidRDefault="00D95C67" w:rsidP="00995125">
      <w:pPr>
        <w:spacing w:after="360" w:line="240" w:lineRule="auto"/>
      </w:pPr>
      <w:r>
        <w:separator/>
      </w:r>
    </w:p>
  </w:endnote>
  <w:endnote w:type="continuationSeparator" w:id="0">
    <w:p w14:paraId="5ECD5F10" w14:textId="77777777" w:rsidR="00D95C67" w:rsidRDefault="00D95C67" w:rsidP="00995125">
      <w:pPr>
        <w:spacing w:after="360" w:line="240" w:lineRule="auto"/>
      </w:pPr>
      <w:r>
        <w:continuationSeparator/>
      </w:r>
    </w:p>
  </w:endnote>
  <w:endnote w:type="continuationNotice" w:id="1">
    <w:p w14:paraId="27239C06" w14:textId="77777777" w:rsidR="00D95C67" w:rsidRDefault="00D95C67">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9666" w14:textId="77777777" w:rsidR="008447B9" w:rsidRDefault="008447B9">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432C" w14:textId="77777777" w:rsidR="008447B9" w:rsidRDefault="008447B9">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5DF8" w14:textId="77777777" w:rsidR="00D95C67" w:rsidRDefault="00D95C67" w:rsidP="00995125">
      <w:pPr>
        <w:spacing w:after="360" w:line="240" w:lineRule="auto"/>
      </w:pPr>
      <w:r>
        <w:separator/>
      </w:r>
    </w:p>
  </w:footnote>
  <w:footnote w:type="continuationSeparator" w:id="0">
    <w:p w14:paraId="4D11BB56" w14:textId="77777777" w:rsidR="00D95C67" w:rsidRDefault="00D95C67" w:rsidP="00995125">
      <w:pPr>
        <w:spacing w:after="360" w:line="240" w:lineRule="auto"/>
      </w:pPr>
      <w:r>
        <w:continuationSeparator/>
      </w:r>
    </w:p>
  </w:footnote>
  <w:footnote w:type="continuationNotice" w:id="1">
    <w:p w14:paraId="6421F6EC" w14:textId="77777777" w:rsidR="00D95C67" w:rsidRDefault="00D95C67">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1CDE" w14:textId="77777777" w:rsidR="008447B9" w:rsidRDefault="008447B9">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1A67" w14:textId="77777777" w:rsidR="008447B9" w:rsidRDefault="008447B9">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6"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8" w15:restartNumberingAfterBreak="0">
    <w:nsid w:val="3F334F27"/>
    <w:multiLevelType w:val="hybridMultilevel"/>
    <w:tmpl w:val="9A1CB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46021"/>
    <w:multiLevelType w:val="multilevel"/>
    <w:tmpl w:val="5A8AC988"/>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DF009B"/>
    <w:multiLevelType w:val="hybridMultilevel"/>
    <w:tmpl w:val="4A2CE9EC"/>
    <w:lvl w:ilvl="0" w:tplc="C56425FA">
      <w:start w:val="1"/>
      <w:numFmt w:val="bullet"/>
      <w:pStyle w:val="ListParagraph"/>
      <w:lvlText w:val=""/>
      <w:lvlJc w:val="left"/>
      <w:pPr>
        <w:ind w:left="927"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602673"/>
    <w:multiLevelType w:val="hybridMultilevel"/>
    <w:tmpl w:val="A550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247619">
    <w:abstractNumId w:val="3"/>
  </w:num>
  <w:num w:numId="2" w16cid:durableId="956595059">
    <w:abstractNumId w:val="2"/>
  </w:num>
  <w:num w:numId="3" w16cid:durableId="1300526467">
    <w:abstractNumId w:val="11"/>
  </w:num>
  <w:num w:numId="4" w16cid:durableId="1757970198">
    <w:abstractNumId w:val="14"/>
  </w:num>
  <w:num w:numId="5" w16cid:durableId="1297486821">
    <w:abstractNumId w:val="5"/>
  </w:num>
  <w:num w:numId="6" w16cid:durableId="1866482495">
    <w:abstractNumId w:val="9"/>
  </w:num>
  <w:num w:numId="7" w16cid:durableId="197399505">
    <w:abstractNumId w:val="0"/>
  </w:num>
  <w:num w:numId="8" w16cid:durableId="1772243417">
    <w:abstractNumId w:val="12"/>
  </w:num>
  <w:num w:numId="9" w16cid:durableId="1058241396">
    <w:abstractNumId w:val="4"/>
  </w:num>
  <w:num w:numId="10" w16cid:durableId="1978290763">
    <w:abstractNumId w:val="7"/>
  </w:num>
  <w:num w:numId="11" w16cid:durableId="1044063571">
    <w:abstractNumId w:val="1"/>
  </w:num>
  <w:num w:numId="12" w16cid:durableId="259988657">
    <w:abstractNumId w:val="6"/>
  </w:num>
  <w:num w:numId="13" w16cid:durableId="1863588581">
    <w:abstractNumId w:val="10"/>
  </w:num>
  <w:num w:numId="14" w16cid:durableId="1786122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34498">
    <w:abstractNumId w:val="13"/>
  </w:num>
  <w:num w:numId="16" w16cid:durableId="314997246">
    <w:abstractNumId w:val="10"/>
  </w:num>
  <w:num w:numId="17" w16cid:durableId="1205604814">
    <w:abstractNumId w:val="8"/>
  </w:num>
  <w:num w:numId="18" w16cid:durableId="17708515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04273"/>
    <w:rsid w:val="000138B4"/>
    <w:rsid w:val="000145B6"/>
    <w:rsid w:val="00015261"/>
    <w:rsid w:val="0001600E"/>
    <w:rsid w:val="00016C83"/>
    <w:rsid w:val="000366A1"/>
    <w:rsid w:val="000379EB"/>
    <w:rsid w:val="00045A8B"/>
    <w:rsid w:val="000520AB"/>
    <w:rsid w:val="00064A7E"/>
    <w:rsid w:val="00070537"/>
    <w:rsid w:val="00072074"/>
    <w:rsid w:val="00075329"/>
    <w:rsid w:val="0009248A"/>
    <w:rsid w:val="000933BA"/>
    <w:rsid w:val="00094E59"/>
    <w:rsid w:val="00095C46"/>
    <w:rsid w:val="00097E5F"/>
    <w:rsid w:val="000A5979"/>
    <w:rsid w:val="000A5E8B"/>
    <w:rsid w:val="000A750A"/>
    <w:rsid w:val="000B070E"/>
    <w:rsid w:val="000B3666"/>
    <w:rsid w:val="000B6C65"/>
    <w:rsid w:val="000C5942"/>
    <w:rsid w:val="000C6071"/>
    <w:rsid w:val="000D1650"/>
    <w:rsid w:val="000D2C6F"/>
    <w:rsid w:val="000E7090"/>
    <w:rsid w:val="00106034"/>
    <w:rsid w:val="001078F5"/>
    <w:rsid w:val="00113565"/>
    <w:rsid w:val="00114B76"/>
    <w:rsid w:val="00123DCD"/>
    <w:rsid w:val="00126E95"/>
    <w:rsid w:val="00130155"/>
    <w:rsid w:val="00133AA2"/>
    <w:rsid w:val="00135E76"/>
    <w:rsid w:val="00142BCF"/>
    <w:rsid w:val="001446EB"/>
    <w:rsid w:val="00147B23"/>
    <w:rsid w:val="0015014F"/>
    <w:rsid w:val="00154930"/>
    <w:rsid w:val="00160127"/>
    <w:rsid w:val="0016348C"/>
    <w:rsid w:val="00167A87"/>
    <w:rsid w:val="00170E86"/>
    <w:rsid w:val="00174D58"/>
    <w:rsid w:val="001820D6"/>
    <w:rsid w:val="00191CFB"/>
    <w:rsid w:val="00191F49"/>
    <w:rsid w:val="00192226"/>
    <w:rsid w:val="001954B5"/>
    <w:rsid w:val="00196FCD"/>
    <w:rsid w:val="00197373"/>
    <w:rsid w:val="00197D6A"/>
    <w:rsid w:val="001A0BB0"/>
    <w:rsid w:val="001A15C0"/>
    <w:rsid w:val="001A2102"/>
    <w:rsid w:val="001B2746"/>
    <w:rsid w:val="001B71F6"/>
    <w:rsid w:val="001C4843"/>
    <w:rsid w:val="001C4938"/>
    <w:rsid w:val="001D0EFF"/>
    <w:rsid w:val="001D3F60"/>
    <w:rsid w:val="001E24B2"/>
    <w:rsid w:val="001E262B"/>
    <w:rsid w:val="001E3792"/>
    <w:rsid w:val="001E4967"/>
    <w:rsid w:val="001E5345"/>
    <w:rsid w:val="001F4C1D"/>
    <w:rsid w:val="001F795F"/>
    <w:rsid w:val="002020C6"/>
    <w:rsid w:val="0020697F"/>
    <w:rsid w:val="002071C9"/>
    <w:rsid w:val="002077EF"/>
    <w:rsid w:val="00214EF4"/>
    <w:rsid w:val="00220C0C"/>
    <w:rsid w:val="00220E80"/>
    <w:rsid w:val="00220FED"/>
    <w:rsid w:val="00225ACE"/>
    <w:rsid w:val="00225CD7"/>
    <w:rsid w:val="00226B1B"/>
    <w:rsid w:val="00233467"/>
    <w:rsid w:val="00244B49"/>
    <w:rsid w:val="00244F1D"/>
    <w:rsid w:val="00247DEC"/>
    <w:rsid w:val="00253F6F"/>
    <w:rsid w:val="00256C28"/>
    <w:rsid w:val="002575C8"/>
    <w:rsid w:val="002677EA"/>
    <w:rsid w:val="002734BA"/>
    <w:rsid w:val="00274C0B"/>
    <w:rsid w:val="00280576"/>
    <w:rsid w:val="00293E49"/>
    <w:rsid w:val="0029522C"/>
    <w:rsid w:val="0029603B"/>
    <w:rsid w:val="002A052D"/>
    <w:rsid w:val="002A6D95"/>
    <w:rsid w:val="002B0AD8"/>
    <w:rsid w:val="002C3102"/>
    <w:rsid w:val="002C4AFB"/>
    <w:rsid w:val="002C7765"/>
    <w:rsid w:val="002D4EA9"/>
    <w:rsid w:val="002D67AD"/>
    <w:rsid w:val="002E1568"/>
    <w:rsid w:val="002F6324"/>
    <w:rsid w:val="00302FE9"/>
    <w:rsid w:val="00304E59"/>
    <w:rsid w:val="00306A40"/>
    <w:rsid w:val="00315993"/>
    <w:rsid w:val="00316EEE"/>
    <w:rsid w:val="00322511"/>
    <w:rsid w:val="00323243"/>
    <w:rsid w:val="003274C9"/>
    <w:rsid w:val="0033498F"/>
    <w:rsid w:val="00336AD4"/>
    <w:rsid w:val="00336B82"/>
    <w:rsid w:val="0034013E"/>
    <w:rsid w:val="003440D9"/>
    <w:rsid w:val="00344BDE"/>
    <w:rsid w:val="00353975"/>
    <w:rsid w:val="00354952"/>
    <w:rsid w:val="00355B82"/>
    <w:rsid w:val="00355C34"/>
    <w:rsid w:val="003603DE"/>
    <w:rsid w:val="0036093B"/>
    <w:rsid w:val="00360AB7"/>
    <w:rsid w:val="00360CF1"/>
    <w:rsid w:val="003613D1"/>
    <w:rsid w:val="00362AA5"/>
    <w:rsid w:val="00364777"/>
    <w:rsid w:val="00367CBF"/>
    <w:rsid w:val="00373F0A"/>
    <w:rsid w:val="00380DE5"/>
    <w:rsid w:val="00382116"/>
    <w:rsid w:val="00382159"/>
    <w:rsid w:val="0038674D"/>
    <w:rsid w:val="0039227B"/>
    <w:rsid w:val="003936D7"/>
    <w:rsid w:val="00394265"/>
    <w:rsid w:val="00394B7A"/>
    <w:rsid w:val="003A1D02"/>
    <w:rsid w:val="003A1D44"/>
    <w:rsid w:val="003A2C91"/>
    <w:rsid w:val="003A321B"/>
    <w:rsid w:val="003B1377"/>
    <w:rsid w:val="003B15E9"/>
    <w:rsid w:val="003B5883"/>
    <w:rsid w:val="003B670F"/>
    <w:rsid w:val="003C53B6"/>
    <w:rsid w:val="003C66C7"/>
    <w:rsid w:val="003C72D2"/>
    <w:rsid w:val="003D76CF"/>
    <w:rsid w:val="003E2E08"/>
    <w:rsid w:val="003E5DE2"/>
    <w:rsid w:val="003E6E16"/>
    <w:rsid w:val="003F0DAB"/>
    <w:rsid w:val="003F123D"/>
    <w:rsid w:val="003F227D"/>
    <w:rsid w:val="003F286F"/>
    <w:rsid w:val="003F4BD4"/>
    <w:rsid w:val="003F635D"/>
    <w:rsid w:val="00400B4B"/>
    <w:rsid w:val="00401DD7"/>
    <w:rsid w:val="0040384F"/>
    <w:rsid w:val="00404D65"/>
    <w:rsid w:val="00410FB0"/>
    <w:rsid w:val="00412499"/>
    <w:rsid w:val="00413F10"/>
    <w:rsid w:val="00422BF1"/>
    <w:rsid w:val="00423A38"/>
    <w:rsid w:val="00426842"/>
    <w:rsid w:val="004278B6"/>
    <w:rsid w:val="00432DDD"/>
    <w:rsid w:val="004348F9"/>
    <w:rsid w:val="00442D59"/>
    <w:rsid w:val="00443FB9"/>
    <w:rsid w:val="00444F63"/>
    <w:rsid w:val="00446314"/>
    <w:rsid w:val="00457FD2"/>
    <w:rsid w:val="004630B1"/>
    <w:rsid w:val="00470940"/>
    <w:rsid w:val="00471BF7"/>
    <w:rsid w:val="0047219A"/>
    <w:rsid w:val="0047708F"/>
    <w:rsid w:val="00482823"/>
    <w:rsid w:val="00487526"/>
    <w:rsid w:val="00496A5A"/>
    <w:rsid w:val="004A18E8"/>
    <w:rsid w:val="004A36AE"/>
    <w:rsid w:val="004A41BB"/>
    <w:rsid w:val="004B6A73"/>
    <w:rsid w:val="004C0197"/>
    <w:rsid w:val="004C2F11"/>
    <w:rsid w:val="004C3568"/>
    <w:rsid w:val="004C36B8"/>
    <w:rsid w:val="004C62E8"/>
    <w:rsid w:val="004D0112"/>
    <w:rsid w:val="004D649E"/>
    <w:rsid w:val="004E62AC"/>
    <w:rsid w:val="004F10A7"/>
    <w:rsid w:val="004F45A3"/>
    <w:rsid w:val="0050334D"/>
    <w:rsid w:val="00503D45"/>
    <w:rsid w:val="00506E4C"/>
    <w:rsid w:val="005139FC"/>
    <w:rsid w:val="0051A448"/>
    <w:rsid w:val="005208F4"/>
    <w:rsid w:val="00521418"/>
    <w:rsid w:val="00522432"/>
    <w:rsid w:val="0052736F"/>
    <w:rsid w:val="005308DD"/>
    <w:rsid w:val="00532771"/>
    <w:rsid w:val="00535E80"/>
    <w:rsid w:val="00536FFE"/>
    <w:rsid w:val="005506F5"/>
    <w:rsid w:val="00550EB9"/>
    <w:rsid w:val="00553E39"/>
    <w:rsid w:val="0055474D"/>
    <w:rsid w:val="0055488F"/>
    <w:rsid w:val="00555C9D"/>
    <w:rsid w:val="00560268"/>
    <w:rsid w:val="00566303"/>
    <w:rsid w:val="00566EC3"/>
    <w:rsid w:val="00567247"/>
    <w:rsid w:val="00567757"/>
    <w:rsid w:val="00580CAA"/>
    <w:rsid w:val="005815D4"/>
    <w:rsid w:val="00585E63"/>
    <w:rsid w:val="005A09C1"/>
    <w:rsid w:val="005A2812"/>
    <w:rsid w:val="005A3926"/>
    <w:rsid w:val="005A4965"/>
    <w:rsid w:val="005B4321"/>
    <w:rsid w:val="005B4720"/>
    <w:rsid w:val="005B67FF"/>
    <w:rsid w:val="005C21F6"/>
    <w:rsid w:val="005C2EEC"/>
    <w:rsid w:val="005C2F51"/>
    <w:rsid w:val="005D016C"/>
    <w:rsid w:val="005D093D"/>
    <w:rsid w:val="005D1BE8"/>
    <w:rsid w:val="005E13B5"/>
    <w:rsid w:val="005E1C55"/>
    <w:rsid w:val="005E310C"/>
    <w:rsid w:val="005E46FD"/>
    <w:rsid w:val="005E6F37"/>
    <w:rsid w:val="005F00BC"/>
    <w:rsid w:val="005F3AED"/>
    <w:rsid w:val="00600A18"/>
    <w:rsid w:val="00600BA3"/>
    <w:rsid w:val="00600E35"/>
    <w:rsid w:val="00602D45"/>
    <w:rsid w:val="0060366E"/>
    <w:rsid w:val="006037CB"/>
    <w:rsid w:val="006235F4"/>
    <w:rsid w:val="00625263"/>
    <w:rsid w:val="006410FD"/>
    <w:rsid w:val="00645B77"/>
    <w:rsid w:val="0065267F"/>
    <w:rsid w:val="006539D3"/>
    <w:rsid w:val="00653D6D"/>
    <w:rsid w:val="00655D6C"/>
    <w:rsid w:val="00661E4B"/>
    <w:rsid w:val="00664660"/>
    <w:rsid w:val="00664CB8"/>
    <w:rsid w:val="006678A8"/>
    <w:rsid w:val="00670D2F"/>
    <w:rsid w:val="006710F2"/>
    <w:rsid w:val="00672E12"/>
    <w:rsid w:val="006777AF"/>
    <w:rsid w:val="0067781E"/>
    <w:rsid w:val="0068057B"/>
    <w:rsid w:val="0068061F"/>
    <w:rsid w:val="0068273B"/>
    <w:rsid w:val="00682A78"/>
    <w:rsid w:val="00685159"/>
    <w:rsid w:val="00685523"/>
    <w:rsid w:val="006874EC"/>
    <w:rsid w:val="0068772F"/>
    <w:rsid w:val="00690B67"/>
    <w:rsid w:val="00691799"/>
    <w:rsid w:val="00691FD4"/>
    <w:rsid w:val="00695B18"/>
    <w:rsid w:val="006970BD"/>
    <w:rsid w:val="006A0D22"/>
    <w:rsid w:val="006A354E"/>
    <w:rsid w:val="006A5AE0"/>
    <w:rsid w:val="006B4769"/>
    <w:rsid w:val="006C0315"/>
    <w:rsid w:val="006C211A"/>
    <w:rsid w:val="006C370D"/>
    <w:rsid w:val="006C3C63"/>
    <w:rsid w:val="006D069C"/>
    <w:rsid w:val="006D084E"/>
    <w:rsid w:val="006E7753"/>
    <w:rsid w:val="006F57E0"/>
    <w:rsid w:val="006F5B41"/>
    <w:rsid w:val="006F68C0"/>
    <w:rsid w:val="00704A0F"/>
    <w:rsid w:val="00704B04"/>
    <w:rsid w:val="0071697A"/>
    <w:rsid w:val="00720481"/>
    <w:rsid w:val="007219B9"/>
    <w:rsid w:val="007249E8"/>
    <w:rsid w:val="007300BF"/>
    <w:rsid w:val="00731230"/>
    <w:rsid w:val="007406A3"/>
    <w:rsid w:val="00746B30"/>
    <w:rsid w:val="0075264B"/>
    <w:rsid w:val="00752B02"/>
    <w:rsid w:val="00757617"/>
    <w:rsid w:val="007669FE"/>
    <w:rsid w:val="00766B25"/>
    <w:rsid w:val="00770971"/>
    <w:rsid w:val="00774342"/>
    <w:rsid w:val="00776C3C"/>
    <w:rsid w:val="00782634"/>
    <w:rsid w:val="007847C3"/>
    <w:rsid w:val="00797090"/>
    <w:rsid w:val="007B2DC1"/>
    <w:rsid w:val="007C110A"/>
    <w:rsid w:val="007D6829"/>
    <w:rsid w:val="007E0DA0"/>
    <w:rsid w:val="007E2B8F"/>
    <w:rsid w:val="007E3338"/>
    <w:rsid w:val="007E517B"/>
    <w:rsid w:val="007F088F"/>
    <w:rsid w:val="007F11E1"/>
    <w:rsid w:val="007F1ECB"/>
    <w:rsid w:val="007F556C"/>
    <w:rsid w:val="007F7E82"/>
    <w:rsid w:val="008006AB"/>
    <w:rsid w:val="00804AD0"/>
    <w:rsid w:val="00805910"/>
    <w:rsid w:val="0080725C"/>
    <w:rsid w:val="00811F61"/>
    <w:rsid w:val="00815C62"/>
    <w:rsid w:val="00824214"/>
    <w:rsid w:val="008248FB"/>
    <w:rsid w:val="00824D03"/>
    <w:rsid w:val="0082703B"/>
    <w:rsid w:val="00827D5D"/>
    <w:rsid w:val="00827DDC"/>
    <w:rsid w:val="008311C4"/>
    <w:rsid w:val="008333F3"/>
    <w:rsid w:val="008447B9"/>
    <w:rsid w:val="008500C8"/>
    <w:rsid w:val="0085514D"/>
    <w:rsid w:val="00855C3E"/>
    <w:rsid w:val="00856148"/>
    <w:rsid w:val="00860F48"/>
    <w:rsid w:val="00864E8F"/>
    <w:rsid w:val="00865E3A"/>
    <w:rsid w:val="00866A3D"/>
    <w:rsid w:val="00875490"/>
    <w:rsid w:val="0088110A"/>
    <w:rsid w:val="008834FC"/>
    <w:rsid w:val="008842F1"/>
    <w:rsid w:val="008847BE"/>
    <w:rsid w:val="00885A60"/>
    <w:rsid w:val="00892E64"/>
    <w:rsid w:val="00893EFF"/>
    <w:rsid w:val="00895334"/>
    <w:rsid w:val="0089553F"/>
    <w:rsid w:val="008A12D5"/>
    <w:rsid w:val="008A411D"/>
    <w:rsid w:val="008A439C"/>
    <w:rsid w:val="008A5BB7"/>
    <w:rsid w:val="008A638E"/>
    <w:rsid w:val="008B46F7"/>
    <w:rsid w:val="008C0B0C"/>
    <w:rsid w:val="008C0DD3"/>
    <w:rsid w:val="008C1616"/>
    <w:rsid w:val="008C204E"/>
    <w:rsid w:val="008C39BF"/>
    <w:rsid w:val="008C7753"/>
    <w:rsid w:val="008C77C1"/>
    <w:rsid w:val="008C78D5"/>
    <w:rsid w:val="008D1B20"/>
    <w:rsid w:val="008D2874"/>
    <w:rsid w:val="008D29FE"/>
    <w:rsid w:val="008E35B9"/>
    <w:rsid w:val="008E57F1"/>
    <w:rsid w:val="008E692A"/>
    <w:rsid w:val="008E7975"/>
    <w:rsid w:val="008F1083"/>
    <w:rsid w:val="00905715"/>
    <w:rsid w:val="00907F1C"/>
    <w:rsid w:val="00913C75"/>
    <w:rsid w:val="009153B3"/>
    <w:rsid w:val="009178F1"/>
    <w:rsid w:val="00920D9C"/>
    <w:rsid w:val="0092413D"/>
    <w:rsid w:val="00926889"/>
    <w:rsid w:val="0092777E"/>
    <w:rsid w:val="00934878"/>
    <w:rsid w:val="00954E8E"/>
    <w:rsid w:val="00957692"/>
    <w:rsid w:val="00961422"/>
    <w:rsid w:val="009647D5"/>
    <w:rsid w:val="00981560"/>
    <w:rsid w:val="00981639"/>
    <w:rsid w:val="009873DF"/>
    <w:rsid w:val="00990665"/>
    <w:rsid w:val="00992E16"/>
    <w:rsid w:val="00995125"/>
    <w:rsid w:val="009A5F7F"/>
    <w:rsid w:val="009B3D73"/>
    <w:rsid w:val="009C051F"/>
    <w:rsid w:val="009C2128"/>
    <w:rsid w:val="009C4455"/>
    <w:rsid w:val="009C44E1"/>
    <w:rsid w:val="009C4821"/>
    <w:rsid w:val="009C7084"/>
    <w:rsid w:val="009D2100"/>
    <w:rsid w:val="009D4723"/>
    <w:rsid w:val="009E08A4"/>
    <w:rsid w:val="009E0DD2"/>
    <w:rsid w:val="009E1B78"/>
    <w:rsid w:val="009E36C0"/>
    <w:rsid w:val="009E42DF"/>
    <w:rsid w:val="009E57AA"/>
    <w:rsid w:val="009E6087"/>
    <w:rsid w:val="009F3ECC"/>
    <w:rsid w:val="00A00FDB"/>
    <w:rsid w:val="00A019DC"/>
    <w:rsid w:val="00A100D2"/>
    <w:rsid w:val="00A2411A"/>
    <w:rsid w:val="00A24FD4"/>
    <w:rsid w:val="00A24FF0"/>
    <w:rsid w:val="00A40A26"/>
    <w:rsid w:val="00A4356A"/>
    <w:rsid w:val="00A438B1"/>
    <w:rsid w:val="00A50D44"/>
    <w:rsid w:val="00A53C1B"/>
    <w:rsid w:val="00A53CD5"/>
    <w:rsid w:val="00A618BA"/>
    <w:rsid w:val="00A62197"/>
    <w:rsid w:val="00A63B67"/>
    <w:rsid w:val="00A65408"/>
    <w:rsid w:val="00A66971"/>
    <w:rsid w:val="00A70ACF"/>
    <w:rsid w:val="00A72B77"/>
    <w:rsid w:val="00A7775C"/>
    <w:rsid w:val="00A809E6"/>
    <w:rsid w:val="00A83044"/>
    <w:rsid w:val="00A87CEA"/>
    <w:rsid w:val="00A91D14"/>
    <w:rsid w:val="00A92BD2"/>
    <w:rsid w:val="00A947FF"/>
    <w:rsid w:val="00A9750F"/>
    <w:rsid w:val="00AB3191"/>
    <w:rsid w:val="00AB4EF2"/>
    <w:rsid w:val="00AB75C7"/>
    <w:rsid w:val="00AC1E20"/>
    <w:rsid w:val="00AE0D3A"/>
    <w:rsid w:val="00AF03BB"/>
    <w:rsid w:val="00AF46B5"/>
    <w:rsid w:val="00AF5924"/>
    <w:rsid w:val="00AF7634"/>
    <w:rsid w:val="00B0093A"/>
    <w:rsid w:val="00B0756C"/>
    <w:rsid w:val="00B10205"/>
    <w:rsid w:val="00B12D15"/>
    <w:rsid w:val="00B13742"/>
    <w:rsid w:val="00B14022"/>
    <w:rsid w:val="00B224A3"/>
    <w:rsid w:val="00B22B79"/>
    <w:rsid w:val="00B24CDC"/>
    <w:rsid w:val="00B264AC"/>
    <w:rsid w:val="00B327E1"/>
    <w:rsid w:val="00B373F5"/>
    <w:rsid w:val="00B40C66"/>
    <w:rsid w:val="00B40DE8"/>
    <w:rsid w:val="00B40F5F"/>
    <w:rsid w:val="00B541F1"/>
    <w:rsid w:val="00B63A9C"/>
    <w:rsid w:val="00B648D5"/>
    <w:rsid w:val="00B728ED"/>
    <w:rsid w:val="00B809C5"/>
    <w:rsid w:val="00B80DB6"/>
    <w:rsid w:val="00B90B11"/>
    <w:rsid w:val="00B91761"/>
    <w:rsid w:val="00B923E6"/>
    <w:rsid w:val="00B93811"/>
    <w:rsid w:val="00B94104"/>
    <w:rsid w:val="00B94305"/>
    <w:rsid w:val="00B97C1C"/>
    <w:rsid w:val="00BA15F2"/>
    <w:rsid w:val="00BA4F4E"/>
    <w:rsid w:val="00BA6AB1"/>
    <w:rsid w:val="00BA7586"/>
    <w:rsid w:val="00BB0358"/>
    <w:rsid w:val="00BB0C31"/>
    <w:rsid w:val="00BB309E"/>
    <w:rsid w:val="00BB3536"/>
    <w:rsid w:val="00BB3702"/>
    <w:rsid w:val="00BC32DA"/>
    <w:rsid w:val="00BC7AEA"/>
    <w:rsid w:val="00BD0DBC"/>
    <w:rsid w:val="00BD19CC"/>
    <w:rsid w:val="00BD4435"/>
    <w:rsid w:val="00BD5C41"/>
    <w:rsid w:val="00BE4B06"/>
    <w:rsid w:val="00BF1A38"/>
    <w:rsid w:val="00BF3D55"/>
    <w:rsid w:val="00BF598B"/>
    <w:rsid w:val="00BF6BEC"/>
    <w:rsid w:val="00C01573"/>
    <w:rsid w:val="00C07115"/>
    <w:rsid w:val="00C1026C"/>
    <w:rsid w:val="00C237AB"/>
    <w:rsid w:val="00C30CA3"/>
    <w:rsid w:val="00C32754"/>
    <w:rsid w:val="00C3308F"/>
    <w:rsid w:val="00C348A2"/>
    <w:rsid w:val="00C35FF1"/>
    <w:rsid w:val="00C37067"/>
    <w:rsid w:val="00C40D25"/>
    <w:rsid w:val="00C41B2C"/>
    <w:rsid w:val="00C451B4"/>
    <w:rsid w:val="00C453FD"/>
    <w:rsid w:val="00C50193"/>
    <w:rsid w:val="00C50E70"/>
    <w:rsid w:val="00C52385"/>
    <w:rsid w:val="00C532C3"/>
    <w:rsid w:val="00C544E7"/>
    <w:rsid w:val="00C5469A"/>
    <w:rsid w:val="00C55661"/>
    <w:rsid w:val="00C62BCF"/>
    <w:rsid w:val="00C6648A"/>
    <w:rsid w:val="00C7127A"/>
    <w:rsid w:val="00C771E1"/>
    <w:rsid w:val="00C815F6"/>
    <w:rsid w:val="00C81E32"/>
    <w:rsid w:val="00C856FD"/>
    <w:rsid w:val="00C857D1"/>
    <w:rsid w:val="00C87063"/>
    <w:rsid w:val="00C87617"/>
    <w:rsid w:val="00C900CD"/>
    <w:rsid w:val="00C904A0"/>
    <w:rsid w:val="00C939B4"/>
    <w:rsid w:val="00C97B9F"/>
    <w:rsid w:val="00CA478B"/>
    <w:rsid w:val="00CA7D87"/>
    <w:rsid w:val="00CB0CCA"/>
    <w:rsid w:val="00CB5907"/>
    <w:rsid w:val="00CB6C57"/>
    <w:rsid w:val="00CC6F33"/>
    <w:rsid w:val="00CD156C"/>
    <w:rsid w:val="00CD3604"/>
    <w:rsid w:val="00CD4D1A"/>
    <w:rsid w:val="00CD67D1"/>
    <w:rsid w:val="00CE11CF"/>
    <w:rsid w:val="00CE1532"/>
    <w:rsid w:val="00CE23F7"/>
    <w:rsid w:val="00CE5384"/>
    <w:rsid w:val="00CF1EE6"/>
    <w:rsid w:val="00CF4699"/>
    <w:rsid w:val="00D0792A"/>
    <w:rsid w:val="00D07C52"/>
    <w:rsid w:val="00D1258B"/>
    <w:rsid w:val="00D138BD"/>
    <w:rsid w:val="00D13C4A"/>
    <w:rsid w:val="00D15FF3"/>
    <w:rsid w:val="00D257C7"/>
    <w:rsid w:val="00D327AE"/>
    <w:rsid w:val="00D33D6A"/>
    <w:rsid w:val="00D33F47"/>
    <w:rsid w:val="00D35C80"/>
    <w:rsid w:val="00D36BF7"/>
    <w:rsid w:val="00D4249E"/>
    <w:rsid w:val="00D45FFC"/>
    <w:rsid w:val="00D46059"/>
    <w:rsid w:val="00D46248"/>
    <w:rsid w:val="00D51FDD"/>
    <w:rsid w:val="00D57903"/>
    <w:rsid w:val="00D667D8"/>
    <w:rsid w:val="00D70491"/>
    <w:rsid w:val="00D803C9"/>
    <w:rsid w:val="00D8157D"/>
    <w:rsid w:val="00D859B4"/>
    <w:rsid w:val="00D9008F"/>
    <w:rsid w:val="00D912E4"/>
    <w:rsid w:val="00D95C67"/>
    <w:rsid w:val="00DA5733"/>
    <w:rsid w:val="00DA5C37"/>
    <w:rsid w:val="00DA67E2"/>
    <w:rsid w:val="00DB062C"/>
    <w:rsid w:val="00DB25E2"/>
    <w:rsid w:val="00DB6B35"/>
    <w:rsid w:val="00DC5F13"/>
    <w:rsid w:val="00DD1538"/>
    <w:rsid w:val="00DD23DD"/>
    <w:rsid w:val="00DD60DA"/>
    <w:rsid w:val="00DD6693"/>
    <w:rsid w:val="00DE031F"/>
    <w:rsid w:val="00DF4488"/>
    <w:rsid w:val="00E007CB"/>
    <w:rsid w:val="00E01599"/>
    <w:rsid w:val="00E01BA2"/>
    <w:rsid w:val="00E05993"/>
    <w:rsid w:val="00E10AD2"/>
    <w:rsid w:val="00E11BBB"/>
    <w:rsid w:val="00E15C36"/>
    <w:rsid w:val="00E165DB"/>
    <w:rsid w:val="00E171CA"/>
    <w:rsid w:val="00E23F19"/>
    <w:rsid w:val="00E264C5"/>
    <w:rsid w:val="00E31710"/>
    <w:rsid w:val="00E32B19"/>
    <w:rsid w:val="00E340B6"/>
    <w:rsid w:val="00E43574"/>
    <w:rsid w:val="00E45E54"/>
    <w:rsid w:val="00E63C07"/>
    <w:rsid w:val="00E65E5E"/>
    <w:rsid w:val="00E70D9A"/>
    <w:rsid w:val="00E808F2"/>
    <w:rsid w:val="00E822A6"/>
    <w:rsid w:val="00E84D62"/>
    <w:rsid w:val="00E864B6"/>
    <w:rsid w:val="00E86F5F"/>
    <w:rsid w:val="00E90CE3"/>
    <w:rsid w:val="00E91217"/>
    <w:rsid w:val="00E9159E"/>
    <w:rsid w:val="00E923CC"/>
    <w:rsid w:val="00E92AE0"/>
    <w:rsid w:val="00E93FC5"/>
    <w:rsid w:val="00E951B4"/>
    <w:rsid w:val="00E95209"/>
    <w:rsid w:val="00E95C38"/>
    <w:rsid w:val="00E95D55"/>
    <w:rsid w:val="00E95F38"/>
    <w:rsid w:val="00E9771F"/>
    <w:rsid w:val="00EA2B20"/>
    <w:rsid w:val="00EA3BBB"/>
    <w:rsid w:val="00EA47F1"/>
    <w:rsid w:val="00EA5584"/>
    <w:rsid w:val="00EA5DB0"/>
    <w:rsid w:val="00EC0D40"/>
    <w:rsid w:val="00EC30A8"/>
    <w:rsid w:val="00EC3AB2"/>
    <w:rsid w:val="00EC68BF"/>
    <w:rsid w:val="00ED4CAF"/>
    <w:rsid w:val="00ED7CDF"/>
    <w:rsid w:val="00EE04A9"/>
    <w:rsid w:val="00EE5EF5"/>
    <w:rsid w:val="00EE7BC4"/>
    <w:rsid w:val="00EF09F6"/>
    <w:rsid w:val="00EF0FD0"/>
    <w:rsid w:val="00EF2401"/>
    <w:rsid w:val="00EF279E"/>
    <w:rsid w:val="00EF56DE"/>
    <w:rsid w:val="00EF7928"/>
    <w:rsid w:val="00F0054E"/>
    <w:rsid w:val="00F00E44"/>
    <w:rsid w:val="00F01739"/>
    <w:rsid w:val="00F02777"/>
    <w:rsid w:val="00F06389"/>
    <w:rsid w:val="00F063BA"/>
    <w:rsid w:val="00F1444A"/>
    <w:rsid w:val="00F20640"/>
    <w:rsid w:val="00F228FE"/>
    <w:rsid w:val="00F229F5"/>
    <w:rsid w:val="00F23954"/>
    <w:rsid w:val="00F26D35"/>
    <w:rsid w:val="00F277D5"/>
    <w:rsid w:val="00F36C9D"/>
    <w:rsid w:val="00F437FE"/>
    <w:rsid w:val="00F43C76"/>
    <w:rsid w:val="00F462D8"/>
    <w:rsid w:val="00F51FCB"/>
    <w:rsid w:val="00F524A9"/>
    <w:rsid w:val="00F56244"/>
    <w:rsid w:val="00F6112B"/>
    <w:rsid w:val="00F7087B"/>
    <w:rsid w:val="00F713FD"/>
    <w:rsid w:val="00F75554"/>
    <w:rsid w:val="00F776E0"/>
    <w:rsid w:val="00F81613"/>
    <w:rsid w:val="00F87D83"/>
    <w:rsid w:val="00F928CA"/>
    <w:rsid w:val="00F93927"/>
    <w:rsid w:val="00FB04C5"/>
    <w:rsid w:val="00FB7DB2"/>
    <w:rsid w:val="00FC245A"/>
    <w:rsid w:val="00FC3B86"/>
    <w:rsid w:val="00FD0050"/>
    <w:rsid w:val="00FD3F48"/>
    <w:rsid w:val="00FD4F66"/>
    <w:rsid w:val="00FF0D06"/>
    <w:rsid w:val="011D60EC"/>
    <w:rsid w:val="03B6A733"/>
    <w:rsid w:val="0465D305"/>
    <w:rsid w:val="056E3A3F"/>
    <w:rsid w:val="0927DB59"/>
    <w:rsid w:val="0930E5C1"/>
    <w:rsid w:val="0B36C043"/>
    <w:rsid w:val="0CA6F019"/>
    <w:rsid w:val="10D105AF"/>
    <w:rsid w:val="1565415F"/>
    <w:rsid w:val="165B6232"/>
    <w:rsid w:val="1719D576"/>
    <w:rsid w:val="19FF8E6D"/>
    <w:rsid w:val="1B1C393F"/>
    <w:rsid w:val="1C861D7B"/>
    <w:rsid w:val="1F6A68CA"/>
    <w:rsid w:val="1FD03090"/>
    <w:rsid w:val="20F376BA"/>
    <w:rsid w:val="23754A93"/>
    <w:rsid w:val="25013EDE"/>
    <w:rsid w:val="253C9558"/>
    <w:rsid w:val="2D73926D"/>
    <w:rsid w:val="3303878B"/>
    <w:rsid w:val="34511557"/>
    <w:rsid w:val="357386E8"/>
    <w:rsid w:val="36470E16"/>
    <w:rsid w:val="36C7B31F"/>
    <w:rsid w:val="3D5DFDD8"/>
    <w:rsid w:val="426EDE06"/>
    <w:rsid w:val="4283AF4A"/>
    <w:rsid w:val="45350C7E"/>
    <w:rsid w:val="45DA6CB6"/>
    <w:rsid w:val="50412D07"/>
    <w:rsid w:val="5413F57C"/>
    <w:rsid w:val="543E2873"/>
    <w:rsid w:val="5614D72E"/>
    <w:rsid w:val="57878194"/>
    <w:rsid w:val="5792065B"/>
    <w:rsid w:val="5CAA53A4"/>
    <w:rsid w:val="5CFF8E40"/>
    <w:rsid w:val="5E28740B"/>
    <w:rsid w:val="5EA1B795"/>
    <w:rsid w:val="5F676075"/>
    <w:rsid w:val="61C84F56"/>
    <w:rsid w:val="6387B20F"/>
    <w:rsid w:val="65307A6A"/>
    <w:rsid w:val="6580DBE0"/>
    <w:rsid w:val="67A4AF61"/>
    <w:rsid w:val="6BCBE7E9"/>
    <w:rsid w:val="6C638C07"/>
    <w:rsid w:val="701411A6"/>
    <w:rsid w:val="78A879F1"/>
    <w:rsid w:val="79164095"/>
    <w:rsid w:val="792F90AB"/>
    <w:rsid w:val="7AAF4E57"/>
    <w:rsid w:val="7AC747C4"/>
    <w:rsid w:val="7C446ED2"/>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15169581-A0A4-4DF6-8E70-4F6BF051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BA"/>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3"/>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3"/>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3"/>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3E6E16"/>
    <w:pPr>
      <w:keepNext/>
      <w:keepLines/>
      <w:numPr>
        <w:ilvl w:val="4"/>
        <w:numId w:val="13"/>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413F10"/>
    <w:pPr>
      <w:numPr>
        <w:numId w:val="15"/>
      </w:numPr>
      <w:spacing w:afterLines="100" w:after="100"/>
      <w:ind w:left="709" w:hanging="709"/>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5E13B5"/>
    <w:pPr>
      <w:spacing w:after="10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character" w:styleId="UnresolvedMention">
    <w:name w:val="Unresolved Mention"/>
    <w:basedOn w:val="DefaultParagraphFont"/>
    <w:uiPriority w:val="99"/>
    <w:semiHidden/>
    <w:unhideWhenUsed/>
    <w:rsid w:val="00C1026C"/>
    <w:rPr>
      <w:color w:val="605E5C"/>
      <w:shd w:val="clear" w:color="auto" w:fill="E1DFDD"/>
    </w:rPr>
  </w:style>
  <w:style w:type="paragraph" w:styleId="Revision">
    <w:name w:val="Revision"/>
    <w:hidden/>
    <w:uiPriority w:val="99"/>
    <w:semiHidden/>
    <w:rsid w:val="008B46F7"/>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7F0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rrespondence@audit-scotland.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scot/publications/scottish-public-finance-manual/" TargetMode="External"/><Relationship Id="rId23" Type="http://schemas.openxmlformats.org/officeDocument/2006/relationships/theme" Target="theme/theme1.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g@wbg.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c129ed3469ba4296a865a64308bac7f9 xmlns="9178d104-5711-4b2a-acc8-bea9b4f70408">
      <Terms xmlns="http://schemas.microsoft.com/office/infopath/2007/PartnerControls"/>
    </c129ed3469ba4296a865a64308bac7f9>
    <PolicyOrTemplate xmlns="4703493c-998d-4118-88b2-da808823be55">Policy</PolicyOrTemplate>
    <SharedWithUsers xmlns="4703493c-998d-4118-88b2-da808823be55">
      <UserInfo>
        <DisplayName>Ashby-Coventry, Danielle</DisplayName>
        <AccountId>1852</AccountId>
        <AccountType/>
      </UserInfo>
      <UserInfo>
        <DisplayName>Hutton, Kathy</DisplayName>
        <AccountId>110</AccountId>
        <AccountType/>
      </UserInfo>
    </SharedWithUsers>
    <_dlc_DocId xmlns="4703493c-998d-4118-88b2-da808823be55">NATLIB-633838967-108483</_dlc_DocId>
    <_dlc_DocIdUrl xmlns="4703493c-998d-4118-88b2-da808823be55">
      <Url>https://natlibscotland.sharepoint.com/sites/llt/_layouts/15/DocIdRedir.aspx?ID=NATLIB-633838967-108483</Url>
      <Description>NATLIB-633838967-108483</Description>
    </_dlc_DocIdUrl>
    <lcf76f155ced4ddcb4097134ff3c332f xmlns="790f5319-da17-498e-a369-3d570bd1b932">
      <Terms xmlns="http://schemas.microsoft.com/office/infopath/2007/PartnerControls"/>
    </lcf76f155ced4ddcb4097134ff3c332f>
    <PublishingExpirationDate xmlns="http://schemas.microsoft.com/sharepoint/v3" xsi:nil="true"/>
    <PublishingStartDate xmlns="http://schemas.microsoft.com/sharepoint/v3" xsi:nil="true"/>
    <MediaLengthInSeconds xmlns="790f5319-da17-498e-a369-3d570bd1b932" xsi:nil="true"/>
    <_Flow_SignoffStatus xmlns="790f5319-da17-498e-a369-3d570bd1b93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5" ma:contentTypeDescription="Create a new document." ma:contentTypeScope="" ma:versionID="91967bc10a454559fba6125c4ea379c9">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c703430c4d173a35ad2ae3462a094e28"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15F6E-D469-4FA1-BC63-BC0B6C03F6B4}">
  <ds:schemaRefs>
    <ds:schemaRef ds:uri="http://schemas.microsoft.com/sharepoint/v3/contenttype/forms"/>
  </ds:schemaRefs>
</ds:datastoreItem>
</file>

<file path=customXml/itemProps2.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3.xml><?xml version="1.0" encoding="utf-8"?>
<ds:datastoreItem xmlns:ds="http://schemas.openxmlformats.org/officeDocument/2006/customXml" ds:itemID="{C9F5D816-9E39-4B10-B3ED-EA6AEEF151FB}">
  <ds:schemaRefs>
    <ds:schemaRef ds:uri="http://schemas.microsoft.com/sharepoint/events"/>
  </ds:schemaRefs>
</ds:datastoreItem>
</file>

<file path=customXml/itemProps4.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4703493c-998d-4118-88b2-da808823be55"/>
    <ds:schemaRef ds:uri="790f5319-da17-498e-a369-3d570bd1b932"/>
    <ds:schemaRef ds:uri="http://schemas.microsoft.com/sharepoint/v3"/>
  </ds:schemaRefs>
</ds:datastoreItem>
</file>

<file path=customXml/itemProps5.xml><?xml version="1.0" encoding="utf-8"?>
<ds:datastoreItem xmlns:ds="http://schemas.openxmlformats.org/officeDocument/2006/customXml" ds:itemID="{306E44C8-6B33-476A-BD9C-427E92652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1708</Words>
  <Characters>9740</Characters>
  <Application>Microsoft Office Word</Application>
  <DocSecurity>2</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Links>
    <vt:vector size="78" baseType="variant">
      <vt:variant>
        <vt:i4>5374045</vt:i4>
      </vt:variant>
      <vt:variant>
        <vt:i4>69</vt:i4>
      </vt:variant>
      <vt:variant>
        <vt:i4>0</vt:i4>
      </vt:variant>
      <vt:variant>
        <vt:i4>5</vt:i4>
      </vt:variant>
      <vt:variant>
        <vt:lpwstr>https://www.gov.scot/publications/scottish-public-finance-manual/</vt:lpwstr>
      </vt:variant>
      <vt:variant>
        <vt:lpwstr/>
      </vt:variant>
      <vt:variant>
        <vt:i4>1245296</vt:i4>
      </vt:variant>
      <vt:variant>
        <vt:i4>66</vt:i4>
      </vt:variant>
      <vt:variant>
        <vt:i4>0</vt:i4>
      </vt:variant>
      <vt:variant>
        <vt:i4>5</vt:i4>
      </vt:variant>
      <vt:variant>
        <vt:lpwstr>mailto:gg@wbg.co.uk</vt:lpwstr>
      </vt:variant>
      <vt:variant>
        <vt:lpwstr/>
      </vt:variant>
      <vt:variant>
        <vt:i4>589860</vt:i4>
      </vt:variant>
      <vt:variant>
        <vt:i4>63</vt:i4>
      </vt:variant>
      <vt:variant>
        <vt:i4>0</vt:i4>
      </vt:variant>
      <vt:variant>
        <vt:i4>5</vt:i4>
      </vt:variant>
      <vt:variant>
        <vt:lpwstr>mailto:correspondence@audit-scotland.gov.uk</vt:lpwstr>
      </vt:variant>
      <vt:variant>
        <vt:lpwstr/>
      </vt:variant>
      <vt:variant>
        <vt:i4>1245243</vt:i4>
      </vt:variant>
      <vt:variant>
        <vt:i4>56</vt:i4>
      </vt:variant>
      <vt:variant>
        <vt:i4>0</vt:i4>
      </vt:variant>
      <vt:variant>
        <vt:i4>5</vt:i4>
      </vt:variant>
      <vt:variant>
        <vt:lpwstr/>
      </vt:variant>
      <vt:variant>
        <vt:lpwstr>_Toc174090736</vt:lpwstr>
      </vt:variant>
      <vt:variant>
        <vt:i4>1245243</vt:i4>
      </vt:variant>
      <vt:variant>
        <vt:i4>50</vt:i4>
      </vt:variant>
      <vt:variant>
        <vt:i4>0</vt:i4>
      </vt:variant>
      <vt:variant>
        <vt:i4>5</vt:i4>
      </vt:variant>
      <vt:variant>
        <vt:lpwstr/>
      </vt:variant>
      <vt:variant>
        <vt:lpwstr>_Toc174090735</vt:lpwstr>
      </vt:variant>
      <vt:variant>
        <vt:i4>1245243</vt:i4>
      </vt:variant>
      <vt:variant>
        <vt:i4>44</vt:i4>
      </vt:variant>
      <vt:variant>
        <vt:i4>0</vt:i4>
      </vt:variant>
      <vt:variant>
        <vt:i4>5</vt:i4>
      </vt:variant>
      <vt:variant>
        <vt:lpwstr/>
      </vt:variant>
      <vt:variant>
        <vt:lpwstr>_Toc174090734</vt:lpwstr>
      </vt:variant>
      <vt:variant>
        <vt:i4>1245243</vt:i4>
      </vt:variant>
      <vt:variant>
        <vt:i4>38</vt:i4>
      </vt:variant>
      <vt:variant>
        <vt:i4>0</vt:i4>
      </vt:variant>
      <vt:variant>
        <vt:i4>5</vt:i4>
      </vt:variant>
      <vt:variant>
        <vt:lpwstr/>
      </vt:variant>
      <vt:variant>
        <vt:lpwstr>_Toc174090733</vt:lpwstr>
      </vt:variant>
      <vt:variant>
        <vt:i4>1245243</vt:i4>
      </vt:variant>
      <vt:variant>
        <vt:i4>32</vt:i4>
      </vt:variant>
      <vt:variant>
        <vt:i4>0</vt:i4>
      </vt:variant>
      <vt:variant>
        <vt:i4>5</vt:i4>
      </vt:variant>
      <vt:variant>
        <vt:lpwstr/>
      </vt:variant>
      <vt:variant>
        <vt:lpwstr>_Toc174090732</vt:lpwstr>
      </vt:variant>
      <vt:variant>
        <vt:i4>1245243</vt:i4>
      </vt:variant>
      <vt:variant>
        <vt:i4>26</vt:i4>
      </vt:variant>
      <vt:variant>
        <vt:i4>0</vt:i4>
      </vt:variant>
      <vt:variant>
        <vt:i4>5</vt:i4>
      </vt:variant>
      <vt:variant>
        <vt:lpwstr/>
      </vt:variant>
      <vt:variant>
        <vt:lpwstr>_Toc174090731</vt:lpwstr>
      </vt:variant>
      <vt:variant>
        <vt:i4>1245243</vt:i4>
      </vt:variant>
      <vt:variant>
        <vt:i4>20</vt:i4>
      </vt:variant>
      <vt:variant>
        <vt:i4>0</vt:i4>
      </vt:variant>
      <vt:variant>
        <vt:i4>5</vt:i4>
      </vt:variant>
      <vt:variant>
        <vt:lpwstr/>
      </vt:variant>
      <vt:variant>
        <vt:lpwstr>_Toc174090730</vt:lpwstr>
      </vt:variant>
      <vt:variant>
        <vt:i4>1179707</vt:i4>
      </vt:variant>
      <vt:variant>
        <vt:i4>14</vt:i4>
      </vt:variant>
      <vt:variant>
        <vt:i4>0</vt:i4>
      </vt:variant>
      <vt:variant>
        <vt:i4>5</vt:i4>
      </vt:variant>
      <vt:variant>
        <vt:lpwstr/>
      </vt:variant>
      <vt:variant>
        <vt:lpwstr>_Toc174090729</vt:lpwstr>
      </vt:variant>
      <vt:variant>
        <vt:i4>1179707</vt:i4>
      </vt:variant>
      <vt:variant>
        <vt:i4>8</vt:i4>
      </vt:variant>
      <vt:variant>
        <vt:i4>0</vt:i4>
      </vt:variant>
      <vt:variant>
        <vt:i4>5</vt:i4>
      </vt:variant>
      <vt:variant>
        <vt:lpwstr/>
      </vt:variant>
      <vt:variant>
        <vt:lpwstr>_Toc174090728</vt:lpwstr>
      </vt:variant>
      <vt:variant>
        <vt:i4>1179707</vt:i4>
      </vt:variant>
      <vt:variant>
        <vt:i4>2</vt:i4>
      </vt:variant>
      <vt:variant>
        <vt:i4>0</vt:i4>
      </vt:variant>
      <vt:variant>
        <vt:i4>5</vt:i4>
      </vt:variant>
      <vt:variant>
        <vt:lpwstr/>
      </vt:variant>
      <vt:variant>
        <vt:lpwstr>_Toc174090727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Dowdell, Catherine</cp:lastModifiedBy>
  <cp:revision>2</cp:revision>
  <dcterms:created xsi:type="dcterms:W3CDTF">2024-08-15T14:23:00Z</dcterms:created>
  <dcterms:modified xsi:type="dcterms:W3CDTF">2024-08-15T14:23:00Z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ComplianceAssetId">
    <vt:lpwstr/>
  </property>
  <property fmtid="{D5CDD505-2E9C-101B-9397-08002B2CF9AE}" pid="4" name="_dlc_DocIdItemGuid">
    <vt:lpwstr>7691933c-d7c4-4810-a0e8-f205b8b04454</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Order">
    <vt:r8>9634100</vt:r8>
  </property>
  <property fmtid="{D5CDD505-2E9C-101B-9397-08002B2CF9AE}" pid="9" name="MediaServiceImageTags">
    <vt:lpwstr/>
  </property>
</Properties>
</file>